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5DF8D" w14:textId="77777777" w:rsidR="005463C1" w:rsidRPr="00635C18" w:rsidRDefault="00A908A3" w:rsidP="002B2B2B">
      <w:pPr>
        <w:spacing w:after="0" w:line="360" w:lineRule="auto"/>
        <w:jc w:val="center"/>
        <w:rPr>
          <w:rFonts w:ascii="Times New Roman" w:hAnsi="Times New Roman"/>
          <w:b/>
        </w:rPr>
      </w:pPr>
      <w:r w:rsidRPr="00635C18">
        <w:rPr>
          <w:rFonts w:ascii="Times New Roman" w:hAnsi="Times New Roman"/>
          <w:b/>
        </w:rPr>
        <w:t>PASVALIO PETRO VILEIŠIO</w:t>
      </w:r>
      <w:r w:rsidR="005463C1" w:rsidRPr="00635C18">
        <w:rPr>
          <w:rFonts w:ascii="Times New Roman" w:hAnsi="Times New Roman"/>
          <w:b/>
        </w:rPr>
        <w:t xml:space="preserve"> GIMNAZIJOS</w:t>
      </w:r>
      <w:r w:rsidR="002B2B2B">
        <w:rPr>
          <w:rFonts w:ascii="Times New Roman" w:hAnsi="Times New Roman"/>
          <w:b/>
        </w:rPr>
        <w:t xml:space="preserve"> </w:t>
      </w:r>
      <w:r w:rsidR="005463C1" w:rsidRPr="00635C18">
        <w:rPr>
          <w:rFonts w:ascii="Times New Roman" w:hAnsi="Times New Roman"/>
          <w:b/>
        </w:rPr>
        <w:t>MOKYTOJŲ METODINĖS TARYBOS</w:t>
      </w:r>
    </w:p>
    <w:p w14:paraId="741DFD89" w14:textId="77777777" w:rsidR="005463C1" w:rsidRPr="00635C18" w:rsidRDefault="0094359F" w:rsidP="002B2B2B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VEIKLOS PLANAS 2024</w:t>
      </w:r>
      <w:r w:rsidR="000C2AFD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5</w:t>
      </w:r>
      <w:r w:rsidR="005463C1" w:rsidRPr="00635C18">
        <w:rPr>
          <w:rFonts w:ascii="Times New Roman" w:hAnsi="Times New Roman"/>
          <w:b/>
        </w:rPr>
        <w:t xml:space="preserve"> M.M.</w:t>
      </w:r>
    </w:p>
    <w:p w14:paraId="3D945E64" w14:textId="77777777" w:rsidR="00F66104" w:rsidRPr="00635C18" w:rsidRDefault="00F66104" w:rsidP="002B2B2B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FF5F246" w14:textId="5774F2B8" w:rsidR="00AD10C1" w:rsidRPr="00635C18" w:rsidRDefault="00A00C2B" w:rsidP="002B2B2B">
      <w:pPr>
        <w:spacing w:line="360" w:lineRule="auto"/>
        <w:jc w:val="both"/>
        <w:rPr>
          <w:rStyle w:val="Grietas"/>
          <w:rFonts w:ascii="Times New Roman" w:hAnsi="Times New Roman"/>
        </w:rPr>
      </w:pPr>
      <w:r w:rsidRPr="00635C18">
        <w:rPr>
          <w:rFonts w:ascii="Times New Roman" w:hAnsi="Times New Roman"/>
          <w:b/>
        </w:rPr>
        <w:t xml:space="preserve">PRIORITETAS: </w:t>
      </w:r>
      <w:r w:rsidR="000C523E" w:rsidRPr="00635C18">
        <w:rPr>
          <w:rStyle w:val="Grietas"/>
          <w:rFonts w:ascii="Times New Roman" w:hAnsi="Times New Roman"/>
        </w:rPr>
        <w:t xml:space="preserve">burti mokytojų </w:t>
      </w:r>
      <w:r w:rsidR="009A312C" w:rsidRPr="00635C18">
        <w:rPr>
          <w:rStyle w:val="Grietas"/>
          <w:rFonts w:ascii="Times New Roman" w:hAnsi="Times New Roman"/>
        </w:rPr>
        <w:t xml:space="preserve">bendruomenę nuolat </w:t>
      </w:r>
      <w:r w:rsidR="009A312C" w:rsidRPr="000C2AFD">
        <w:rPr>
          <w:rStyle w:val="Grietas"/>
          <w:rFonts w:ascii="Times New Roman" w:hAnsi="Times New Roman"/>
        </w:rPr>
        <w:t>mokytis</w:t>
      </w:r>
      <w:r w:rsidR="00CC6F79" w:rsidRPr="000C2AFD">
        <w:rPr>
          <w:rStyle w:val="Grietas"/>
          <w:rFonts w:ascii="Times New Roman" w:hAnsi="Times New Roman"/>
        </w:rPr>
        <w:t xml:space="preserve"> ir kelti kvalifikaciją</w:t>
      </w:r>
      <w:r w:rsidR="000C523E" w:rsidRPr="000C2AFD">
        <w:rPr>
          <w:rStyle w:val="Grietas"/>
          <w:rFonts w:ascii="Times New Roman" w:hAnsi="Times New Roman"/>
        </w:rPr>
        <w:t>,</w:t>
      </w:r>
      <w:r w:rsidR="00CC6F79" w:rsidRPr="000C2AFD">
        <w:rPr>
          <w:rStyle w:val="Grietas"/>
          <w:rFonts w:ascii="Times New Roman" w:hAnsi="Times New Roman"/>
        </w:rPr>
        <w:t xml:space="preserve"> </w:t>
      </w:r>
      <w:r w:rsidR="00C52C13" w:rsidRPr="000C2AFD">
        <w:rPr>
          <w:rStyle w:val="Grietas"/>
          <w:rFonts w:ascii="Times New Roman" w:hAnsi="Times New Roman"/>
        </w:rPr>
        <w:t>įgyvendin</w:t>
      </w:r>
      <w:r w:rsidR="00CC6F79" w:rsidRPr="000C2AFD">
        <w:rPr>
          <w:rStyle w:val="Grietas"/>
          <w:rFonts w:ascii="Times New Roman" w:hAnsi="Times New Roman"/>
        </w:rPr>
        <w:t>ant Bendrąsias  ugdymo programas,</w:t>
      </w:r>
      <w:r w:rsidR="000C523E" w:rsidRPr="00635C18">
        <w:rPr>
          <w:rStyle w:val="Grietas"/>
          <w:rFonts w:ascii="Times New Roman" w:hAnsi="Times New Roman"/>
        </w:rPr>
        <w:t xml:space="preserve"> </w:t>
      </w:r>
      <w:r w:rsidR="0088291D">
        <w:rPr>
          <w:rStyle w:val="Grietas"/>
          <w:rFonts w:ascii="Times New Roman" w:hAnsi="Times New Roman"/>
        </w:rPr>
        <w:t>kolegialiai ieškan</w:t>
      </w:r>
      <w:r w:rsidR="00CC6F79">
        <w:rPr>
          <w:rStyle w:val="Grietas"/>
          <w:rFonts w:ascii="Times New Roman" w:hAnsi="Times New Roman"/>
        </w:rPr>
        <w:t>t iškilusių problemų sprendimų</w:t>
      </w:r>
      <w:r w:rsidR="000C523E" w:rsidRPr="00635C18">
        <w:rPr>
          <w:rStyle w:val="Grietas"/>
          <w:rFonts w:ascii="Times New Roman" w:hAnsi="Times New Roman"/>
        </w:rPr>
        <w:t xml:space="preserve">, </w:t>
      </w:r>
      <w:r w:rsidR="00B77D91">
        <w:rPr>
          <w:rStyle w:val="Grietas"/>
          <w:rFonts w:ascii="Times New Roman" w:hAnsi="Times New Roman"/>
        </w:rPr>
        <w:t>reflektuojant savo veikl</w:t>
      </w:r>
      <w:r w:rsidR="0088291D">
        <w:rPr>
          <w:rStyle w:val="Grietas"/>
          <w:rFonts w:ascii="Times New Roman" w:hAnsi="Times New Roman"/>
        </w:rPr>
        <w:t xml:space="preserve">ą, </w:t>
      </w:r>
      <w:r w:rsidR="000C523E" w:rsidRPr="00635C18">
        <w:rPr>
          <w:rStyle w:val="Grietas"/>
          <w:rFonts w:ascii="Times New Roman" w:hAnsi="Times New Roman"/>
        </w:rPr>
        <w:t>bendrad</w:t>
      </w:r>
      <w:r w:rsidR="002B2B2B">
        <w:rPr>
          <w:rStyle w:val="Grietas"/>
          <w:rFonts w:ascii="Times New Roman" w:hAnsi="Times New Roman"/>
        </w:rPr>
        <w:t>arbiaujant bei dalinantis darbo</w:t>
      </w:r>
      <w:r w:rsidR="000C523E" w:rsidRPr="00635C18">
        <w:rPr>
          <w:rStyle w:val="Grietas"/>
          <w:rFonts w:ascii="Times New Roman" w:hAnsi="Times New Roman"/>
        </w:rPr>
        <w:t xml:space="preserve"> patirtimi.</w:t>
      </w:r>
    </w:p>
    <w:p w14:paraId="195C605E" w14:textId="77777777" w:rsidR="00A00C2B" w:rsidRDefault="00A00C2B" w:rsidP="002B2B2B">
      <w:pPr>
        <w:spacing w:line="360" w:lineRule="auto"/>
        <w:jc w:val="both"/>
        <w:rPr>
          <w:rFonts w:ascii="Times New Roman" w:hAnsi="Times New Roman"/>
        </w:rPr>
      </w:pPr>
      <w:r w:rsidRPr="00635C18">
        <w:rPr>
          <w:rFonts w:ascii="Times New Roman" w:hAnsi="Times New Roman"/>
          <w:b/>
        </w:rPr>
        <w:t xml:space="preserve">TIKSLAS: </w:t>
      </w:r>
      <w:r w:rsidR="00AF6873" w:rsidRPr="00AF6873">
        <w:rPr>
          <w:rFonts w:ascii="Times New Roman" w:hAnsi="Times New Roman"/>
        </w:rPr>
        <w:t xml:space="preserve">skatinti </w:t>
      </w:r>
      <w:r w:rsidR="00AF6873">
        <w:rPr>
          <w:rFonts w:ascii="Times New Roman" w:hAnsi="Times New Roman"/>
        </w:rPr>
        <w:t>nuolatinį</w:t>
      </w:r>
      <w:r w:rsidR="000C523E" w:rsidRPr="00635C18">
        <w:rPr>
          <w:rFonts w:ascii="Times New Roman" w:hAnsi="Times New Roman"/>
        </w:rPr>
        <w:t xml:space="preserve"> mokytojų</w:t>
      </w:r>
      <w:r w:rsidR="00AF6873">
        <w:rPr>
          <w:rFonts w:ascii="Times New Roman" w:hAnsi="Times New Roman"/>
        </w:rPr>
        <w:t xml:space="preserve"> profesinės kompetencijos augimą,</w:t>
      </w:r>
      <w:r w:rsidR="000C523E" w:rsidRPr="00635C18">
        <w:rPr>
          <w:rFonts w:ascii="Times New Roman" w:hAnsi="Times New Roman"/>
        </w:rPr>
        <w:t xml:space="preserve"> </w:t>
      </w:r>
      <w:r w:rsidR="00AF6873">
        <w:rPr>
          <w:rFonts w:ascii="Times New Roman" w:hAnsi="Times New Roman"/>
        </w:rPr>
        <w:t xml:space="preserve">siekiant </w:t>
      </w:r>
      <w:r w:rsidR="000C523E" w:rsidRPr="00635C18">
        <w:rPr>
          <w:rFonts w:ascii="Times New Roman" w:hAnsi="Times New Roman"/>
        </w:rPr>
        <w:t>ugdymo(</w:t>
      </w:r>
      <w:proofErr w:type="spellStart"/>
      <w:r w:rsidR="000C523E" w:rsidRPr="00635C18">
        <w:rPr>
          <w:rFonts w:ascii="Times New Roman" w:hAnsi="Times New Roman"/>
        </w:rPr>
        <w:t>si</w:t>
      </w:r>
      <w:proofErr w:type="spellEnd"/>
      <w:r w:rsidR="000C523E" w:rsidRPr="00635C18">
        <w:rPr>
          <w:rFonts w:ascii="Times New Roman" w:hAnsi="Times New Roman"/>
        </w:rPr>
        <w:t>) proceso veiksmingumo užtikrinimo.</w:t>
      </w:r>
    </w:p>
    <w:p w14:paraId="07E9B039" w14:textId="77777777" w:rsidR="00A00C2B" w:rsidRPr="006D6E2E" w:rsidRDefault="00A00C2B" w:rsidP="003415AF">
      <w:pPr>
        <w:spacing w:after="0" w:line="360" w:lineRule="auto"/>
        <w:jc w:val="both"/>
        <w:rPr>
          <w:rFonts w:ascii="Times New Roman" w:hAnsi="Times New Roman"/>
          <w:b/>
        </w:rPr>
      </w:pPr>
      <w:r w:rsidRPr="006D6E2E">
        <w:rPr>
          <w:rFonts w:ascii="Times New Roman" w:hAnsi="Times New Roman"/>
          <w:b/>
        </w:rPr>
        <w:t>UŽDAVINIAI:</w:t>
      </w:r>
    </w:p>
    <w:p w14:paraId="2B1A256B" w14:textId="25135C94" w:rsidR="000C523E" w:rsidRPr="000C2AFD" w:rsidRDefault="00CF03EA" w:rsidP="003415AF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C2AFD">
        <w:rPr>
          <w:rFonts w:ascii="Times New Roman" w:hAnsi="Times New Roman"/>
        </w:rPr>
        <w:t>Užtikrinti</w:t>
      </w:r>
      <w:r w:rsidR="00AD10C1" w:rsidRPr="000C2AFD">
        <w:rPr>
          <w:rFonts w:ascii="Times New Roman" w:hAnsi="Times New Roman"/>
        </w:rPr>
        <w:t xml:space="preserve"> kryptingą gimnazijos mokytojų </w:t>
      </w:r>
      <w:r w:rsidR="00A00C2B" w:rsidRPr="000C2AFD">
        <w:rPr>
          <w:rFonts w:ascii="Times New Roman" w:hAnsi="Times New Roman"/>
        </w:rPr>
        <w:t xml:space="preserve">metodinių </w:t>
      </w:r>
      <w:r w:rsidRPr="000C2AFD">
        <w:rPr>
          <w:rFonts w:ascii="Times New Roman" w:hAnsi="Times New Roman"/>
        </w:rPr>
        <w:t>grupių veiklą ir aktyvinti</w:t>
      </w:r>
      <w:r w:rsidR="00CC6F79" w:rsidRPr="000C2AFD">
        <w:rPr>
          <w:rFonts w:ascii="Times New Roman" w:hAnsi="Times New Roman"/>
        </w:rPr>
        <w:t xml:space="preserve"> darbo</w:t>
      </w:r>
      <w:r w:rsidRPr="000C2AFD">
        <w:rPr>
          <w:rFonts w:ascii="Times New Roman" w:hAnsi="Times New Roman"/>
        </w:rPr>
        <w:t xml:space="preserve"> patirties sklaidą bei metodinį, dalykinį, refleksyvų ir</w:t>
      </w:r>
      <w:r w:rsidR="00CF481C" w:rsidRPr="000C2AFD">
        <w:rPr>
          <w:rFonts w:ascii="Times New Roman" w:hAnsi="Times New Roman"/>
        </w:rPr>
        <w:t xml:space="preserve"> atvirą </w:t>
      </w:r>
      <w:r w:rsidR="008B3010" w:rsidRPr="000C2AFD">
        <w:rPr>
          <w:rFonts w:ascii="Times New Roman" w:hAnsi="Times New Roman"/>
        </w:rPr>
        <w:t>bendradarbiavimą</w:t>
      </w:r>
      <w:r w:rsidR="000C2AFD" w:rsidRPr="000C2AFD">
        <w:rPr>
          <w:rFonts w:ascii="Times New Roman" w:hAnsi="Times New Roman"/>
        </w:rPr>
        <w:t>, įgyvendinant</w:t>
      </w:r>
      <w:r w:rsidR="008B3010" w:rsidRPr="000C2AFD">
        <w:rPr>
          <w:rFonts w:ascii="Times New Roman" w:hAnsi="Times New Roman"/>
        </w:rPr>
        <w:t xml:space="preserve"> </w:t>
      </w:r>
      <w:r w:rsidR="00555A72">
        <w:rPr>
          <w:rFonts w:ascii="Times New Roman" w:hAnsi="Times New Roman"/>
        </w:rPr>
        <w:t>Bendrąsias ugdymo programas</w:t>
      </w:r>
      <w:r w:rsidR="008B3010" w:rsidRPr="000C2AFD">
        <w:rPr>
          <w:rFonts w:ascii="Times New Roman" w:hAnsi="Times New Roman"/>
        </w:rPr>
        <w:t>.</w:t>
      </w:r>
    </w:p>
    <w:p w14:paraId="251A41E1" w14:textId="1C93C5EE" w:rsidR="00A00C2B" w:rsidRPr="00420DB2" w:rsidRDefault="00AF6873" w:rsidP="002B2B2B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 w:rsidRPr="00420DB2">
        <w:rPr>
          <w:rFonts w:ascii="Times New Roman" w:hAnsi="Times New Roman"/>
        </w:rPr>
        <w:t>Gerin</w:t>
      </w:r>
      <w:r w:rsidR="000C523E" w:rsidRPr="00420DB2">
        <w:rPr>
          <w:rFonts w:ascii="Times New Roman" w:hAnsi="Times New Roman"/>
        </w:rPr>
        <w:t>ti mokymo kokybę</w:t>
      </w:r>
      <w:r w:rsidR="00316CE4" w:rsidRPr="00420DB2">
        <w:rPr>
          <w:rFonts w:ascii="Times New Roman" w:hAnsi="Times New Roman"/>
        </w:rPr>
        <w:t xml:space="preserve">, </w:t>
      </w:r>
      <w:r w:rsidR="00555A72" w:rsidRPr="00420DB2">
        <w:rPr>
          <w:rFonts w:ascii="Times New Roman" w:hAnsi="Times New Roman"/>
        </w:rPr>
        <w:t>įgyvendinant</w:t>
      </w:r>
      <w:r w:rsidR="00316CE4" w:rsidRPr="00420DB2">
        <w:rPr>
          <w:rFonts w:ascii="Times New Roman" w:hAnsi="Times New Roman"/>
        </w:rPr>
        <w:t xml:space="preserve"> Tarptautiškumo</w:t>
      </w:r>
      <w:bookmarkStart w:id="0" w:name="_GoBack"/>
      <w:bookmarkEnd w:id="0"/>
      <w:r w:rsidR="00316CE4" w:rsidRPr="00420DB2">
        <w:rPr>
          <w:rFonts w:ascii="Times New Roman" w:hAnsi="Times New Roman"/>
        </w:rPr>
        <w:t xml:space="preserve"> strategiją ir</w:t>
      </w:r>
      <w:r w:rsidR="00555A72" w:rsidRPr="00420DB2">
        <w:rPr>
          <w:rFonts w:ascii="Times New Roman" w:hAnsi="Times New Roman"/>
        </w:rPr>
        <w:t xml:space="preserve"> TŪM programą</w:t>
      </w:r>
      <w:r w:rsidR="00316CE4" w:rsidRPr="00420DB2">
        <w:rPr>
          <w:rFonts w:ascii="Times New Roman" w:hAnsi="Times New Roman"/>
        </w:rPr>
        <w:t xml:space="preserve">, </w:t>
      </w:r>
      <w:r w:rsidR="00555A72" w:rsidRPr="00420DB2">
        <w:rPr>
          <w:rFonts w:ascii="Times New Roman" w:hAnsi="Times New Roman"/>
        </w:rPr>
        <w:t>organizuojant veiklas</w:t>
      </w:r>
      <w:r w:rsidR="000C523E" w:rsidRPr="00420DB2">
        <w:rPr>
          <w:rFonts w:ascii="Times New Roman" w:hAnsi="Times New Roman"/>
        </w:rPr>
        <w:t>, skat</w:t>
      </w:r>
      <w:r w:rsidR="00EE4C57" w:rsidRPr="00420DB2">
        <w:rPr>
          <w:rFonts w:ascii="Times New Roman" w:hAnsi="Times New Roman"/>
        </w:rPr>
        <w:t xml:space="preserve">inančias </w:t>
      </w:r>
      <w:r w:rsidR="006039E4" w:rsidRPr="00420DB2">
        <w:rPr>
          <w:rFonts w:ascii="Times New Roman" w:hAnsi="Times New Roman"/>
        </w:rPr>
        <w:t xml:space="preserve">mokinių </w:t>
      </w:r>
      <w:r w:rsidR="00EE4C57" w:rsidRPr="00420DB2">
        <w:rPr>
          <w:rFonts w:ascii="Times New Roman" w:hAnsi="Times New Roman"/>
        </w:rPr>
        <w:t xml:space="preserve">mokymosi </w:t>
      </w:r>
      <w:r w:rsidR="000C523E" w:rsidRPr="00420DB2">
        <w:rPr>
          <w:rFonts w:ascii="Times New Roman" w:hAnsi="Times New Roman"/>
        </w:rPr>
        <w:t>motyvaciją</w:t>
      </w:r>
      <w:r w:rsidR="00555A72" w:rsidRPr="00420DB2">
        <w:rPr>
          <w:rFonts w:ascii="Times New Roman" w:hAnsi="Times New Roman"/>
        </w:rPr>
        <w:t xml:space="preserve"> ir ugdant kūrybingumą</w:t>
      </w:r>
      <w:r w:rsidR="00EE4C57" w:rsidRPr="00420DB2">
        <w:rPr>
          <w:rFonts w:ascii="Times New Roman" w:hAnsi="Times New Roman"/>
        </w:rPr>
        <w:t>.</w:t>
      </w:r>
    </w:p>
    <w:p w14:paraId="7B5E1D91" w14:textId="7C986213" w:rsidR="006D6E2E" w:rsidRPr="005F437F" w:rsidRDefault="00AD10C1" w:rsidP="00CC6F79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C2AFD">
        <w:rPr>
          <w:rFonts w:ascii="Times New Roman" w:hAnsi="Times New Roman"/>
        </w:rPr>
        <w:t xml:space="preserve">Tikslingai </w:t>
      </w:r>
      <w:r w:rsidR="00CC6F79" w:rsidRPr="000C2AFD">
        <w:rPr>
          <w:rFonts w:ascii="Times New Roman" w:hAnsi="Times New Roman"/>
        </w:rPr>
        <w:t>tobulinti pedagoginių darbuotojų kvalifikacijos organizavimą vadovaujantis nacionaliniais 2023–2025 prioritetais</w:t>
      </w:r>
      <w:r w:rsidR="00555A72">
        <w:rPr>
          <w:rFonts w:ascii="Times New Roman" w:hAnsi="Times New Roman"/>
        </w:rPr>
        <w:t xml:space="preserve">, </w:t>
      </w:r>
      <w:r w:rsidR="00555A72" w:rsidRPr="005F437F">
        <w:rPr>
          <w:rFonts w:ascii="Times New Roman" w:hAnsi="Times New Roman"/>
        </w:rPr>
        <w:t xml:space="preserve">TŪM programos ir gimnazijos Strateginio plano tikslais </w:t>
      </w:r>
      <w:r w:rsidR="00CC6F79" w:rsidRPr="005F437F">
        <w:rPr>
          <w:rFonts w:ascii="Times New Roman" w:hAnsi="Times New Roman"/>
        </w:rPr>
        <w:t>.</w:t>
      </w:r>
    </w:p>
    <w:p w14:paraId="64A132CB" w14:textId="77777777" w:rsidR="006D6E2E" w:rsidRPr="006D6E2E" w:rsidRDefault="006D6E2E" w:rsidP="002B2B2B">
      <w:pPr>
        <w:spacing w:after="0" w:line="360" w:lineRule="auto"/>
        <w:jc w:val="both"/>
        <w:rPr>
          <w:rFonts w:ascii="Times New Roman" w:hAnsi="Times New Roman"/>
          <w:b/>
        </w:rPr>
      </w:pPr>
      <w:r w:rsidRPr="006D6E2E">
        <w:rPr>
          <w:rFonts w:ascii="Times New Roman" w:hAnsi="Times New Roman"/>
          <w:b/>
        </w:rPr>
        <w:t>METODINĖ TARYBA</w:t>
      </w:r>
    </w:p>
    <w:p w14:paraId="17267DF9" w14:textId="47DC3310" w:rsidR="006D6E2E" w:rsidRPr="006D6E2E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Sigitas Filmanavičius</w:t>
      </w:r>
      <w:r w:rsidRPr="006D6E2E">
        <w:rPr>
          <w:rFonts w:ascii="Times New Roman" w:hAnsi="Times New Roman"/>
          <w:bCs/>
        </w:rPr>
        <w:t xml:space="preserve"> – fizinio ugdymo mokyto</w:t>
      </w:r>
      <w:r w:rsidR="0065679D">
        <w:rPr>
          <w:rFonts w:ascii="Times New Roman" w:hAnsi="Times New Roman"/>
          <w:bCs/>
        </w:rPr>
        <w:t>jų metodinės grupės pirmininkas</w:t>
      </w:r>
    </w:p>
    <w:p w14:paraId="3ABB8656" w14:textId="3FC54D1F" w:rsidR="006D6E2E" w:rsidRPr="006D6E2E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Monika Grigaliūnienė</w:t>
      </w:r>
      <w:r w:rsidRPr="006D6E2E">
        <w:rPr>
          <w:rFonts w:ascii="Times New Roman" w:hAnsi="Times New Roman"/>
          <w:bCs/>
        </w:rPr>
        <w:t xml:space="preserve"> – socialinių mokslų mokyt</w:t>
      </w:r>
      <w:r w:rsidR="0065679D">
        <w:rPr>
          <w:rFonts w:ascii="Times New Roman" w:hAnsi="Times New Roman"/>
          <w:bCs/>
        </w:rPr>
        <w:t>ojų metodinės grupės pirmininkė</w:t>
      </w:r>
    </w:p>
    <w:p w14:paraId="471D52A8" w14:textId="3844AC67" w:rsidR="006D6E2E" w:rsidRPr="006D6E2E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Vitalija Kanišauskaitė</w:t>
      </w:r>
      <w:r w:rsidRPr="006D6E2E">
        <w:rPr>
          <w:rFonts w:ascii="Times New Roman" w:hAnsi="Times New Roman"/>
          <w:bCs/>
        </w:rPr>
        <w:t xml:space="preserve"> – užsieni</w:t>
      </w:r>
      <w:r w:rsidR="0094359F">
        <w:rPr>
          <w:rFonts w:ascii="Times New Roman" w:hAnsi="Times New Roman"/>
          <w:bCs/>
        </w:rPr>
        <w:t>o kalbų mokytojų metodinės grupės pirmininkė</w:t>
      </w:r>
    </w:p>
    <w:p w14:paraId="4AF8C076" w14:textId="5A90785D" w:rsidR="006D6E2E" w:rsidRPr="0094359F" w:rsidRDefault="006D6E2E" w:rsidP="0094359F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Ala Kutkauskienė</w:t>
      </w:r>
      <w:r w:rsidR="0094359F">
        <w:rPr>
          <w:rFonts w:ascii="Times New Roman" w:hAnsi="Times New Roman"/>
          <w:bCs/>
        </w:rPr>
        <w:t xml:space="preserve"> – dorinio ugdymo</w:t>
      </w:r>
      <w:r w:rsidRPr="0094359F">
        <w:rPr>
          <w:rFonts w:ascii="Times New Roman" w:hAnsi="Times New Roman"/>
          <w:bCs/>
        </w:rPr>
        <w:t xml:space="preserve"> mokyt</w:t>
      </w:r>
      <w:r w:rsidR="0065679D">
        <w:rPr>
          <w:rFonts w:ascii="Times New Roman" w:hAnsi="Times New Roman"/>
          <w:bCs/>
        </w:rPr>
        <w:t>ojų metodinės grupės pirmininkė</w:t>
      </w:r>
    </w:p>
    <w:p w14:paraId="43FC4902" w14:textId="3DC9BA1C" w:rsidR="006D6E2E" w:rsidRPr="006D6E2E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Loreta Liukpetrienė</w:t>
      </w:r>
      <w:r w:rsidRPr="006D6E2E">
        <w:rPr>
          <w:rFonts w:ascii="Times New Roman" w:hAnsi="Times New Roman"/>
          <w:bCs/>
        </w:rPr>
        <w:t xml:space="preserve"> – d</w:t>
      </w:r>
      <w:r w:rsidR="0065679D">
        <w:rPr>
          <w:rFonts w:ascii="Times New Roman" w:hAnsi="Times New Roman"/>
          <w:bCs/>
        </w:rPr>
        <w:t>irektoriaus pavaduotoja ugdymui</w:t>
      </w:r>
    </w:p>
    <w:p w14:paraId="408998E9" w14:textId="30F21CCC" w:rsidR="006D6E2E" w:rsidRPr="006D6E2E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Rūta Lukošiūnaitė</w:t>
      </w:r>
      <w:r w:rsidRPr="006D6E2E">
        <w:rPr>
          <w:rFonts w:ascii="Times New Roman" w:hAnsi="Times New Roman"/>
          <w:bCs/>
        </w:rPr>
        <w:t xml:space="preserve"> – gamtos mokslų mokyt</w:t>
      </w:r>
      <w:r w:rsidR="0065679D">
        <w:rPr>
          <w:rFonts w:ascii="Times New Roman" w:hAnsi="Times New Roman"/>
          <w:bCs/>
        </w:rPr>
        <w:t>ojų metodinės grupės pirmininkė</w:t>
      </w:r>
    </w:p>
    <w:p w14:paraId="79BBEB8C" w14:textId="791C3F4C" w:rsidR="006D6E2E" w:rsidRPr="006D6E2E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Andrius Maračinskas</w:t>
      </w:r>
      <w:r w:rsidRPr="006D6E2E">
        <w:rPr>
          <w:rFonts w:ascii="Times New Roman" w:hAnsi="Times New Roman"/>
          <w:bCs/>
        </w:rPr>
        <w:t xml:space="preserve"> – nefo</w:t>
      </w:r>
      <w:r w:rsidR="0065679D">
        <w:rPr>
          <w:rFonts w:ascii="Times New Roman" w:hAnsi="Times New Roman"/>
          <w:bCs/>
        </w:rPr>
        <w:t>rmalaus ugdymo skyriaus vedėjas</w:t>
      </w:r>
    </w:p>
    <w:p w14:paraId="39484FF2" w14:textId="01904C2A" w:rsidR="006D6E2E" w:rsidRPr="005F437F" w:rsidRDefault="00555A72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5F437F">
        <w:rPr>
          <w:rFonts w:ascii="Times New Roman" w:hAnsi="Times New Roman"/>
          <w:b/>
          <w:bCs/>
        </w:rPr>
        <w:t>Inga Jakubonienė</w:t>
      </w:r>
      <w:r w:rsidR="006D6E2E" w:rsidRPr="005F437F">
        <w:rPr>
          <w:rFonts w:ascii="Times New Roman" w:hAnsi="Times New Roman"/>
          <w:bCs/>
        </w:rPr>
        <w:t xml:space="preserve"> – tiksliųjų mokslų mokyt</w:t>
      </w:r>
      <w:r w:rsidR="0065679D">
        <w:rPr>
          <w:rFonts w:ascii="Times New Roman" w:hAnsi="Times New Roman"/>
          <w:bCs/>
        </w:rPr>
        <w:t>ojų metodinės grupės pirmininkė</w:t>
      </w:r>
    </w:p>
    <w:p w14:paraId="262FDAF2" w14:textId="3608F40E" w:rsidR="006D6E2E" w:rsidRPr="006D6E2E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Faustas Petriškis</w:t>
      </w:r>
      <w:r w:rsidRPr="006D6E2E">
        <w:rPr>
          <w:rFonts w:ascii="Times New Roman" w:hAnsi="Times New Roman"/>
          <w:bCs/>
        </w:rPr>
        <w:t xml:space="preserve"> – meninio ugdymo mokyto</w:t>
      </w:r>
      <w:r w:rsidR="0065679D">
        <w:rPr>
          <w:rFonts w:ascii="Times New Roman" w:hAnsi="Times New Roman"/>
          <w:bCs/>
        </w:rPr>
        <w:t>jų metodinės grupės pirmininkas</w:t>
      </w:r>
    </w:p>
    <w:p w14:paraId="14EF3C33" w14:textId="3872F4D0" w:rsidR="006D6E2E" w:rsidRPr="006D6E2E" w:rsidRDefault="006D6E2E" w:rsidP="002B2B2B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Simona Stapulionienė</w:t>
      </w:r>
      <w:r w:rsidRPr="006D6E2E">
        <w:rPr>
          <w:rFonts w:ascii="Times New Roman" w:hAnsi="Times New Roman"/>
          <w:bCs/>
        </w:rPr>
        <w:t xml:space="preserve"> – </w:t>
      </w:r>
      <w:r w:rsidR="00FA663A">
        <w:rPr>
          <w:rFonts w:ascii="Times New Roman" w:hAnsi="Times New Roman"/>
          <w:bCs/>
        </w:rPr>
        <w:t>lietuvių kalbos ir lite</w:t>
      </w:r>
      <w:r w:rsidRPr="006D6E2E">
        <w:rPr>
          <w:rFonts w:ascii="Times New Roman" w:hAnsi="Times New Roman"/>
          <w:bCs/>
        </w:rPr>
        <w:t>ratūros mokyt</w:t>
      </w:r>
      <w:r w:rsidR="0065679D">
        <w:rPr>
          <w:rFonts w:ascii="Times New Roman" w:hAnsi="Times New Roman"/>
          <w:bCs/>
        </w:rPr>
        <w:t>ojų metodinės grupės pirmininkė</w:t>
      </w:r>
    </w:p>
    <w:p w14:paraId="38E5328A" w14:textId="3D4F3C56" w:rsidR="006D6E2E" w:rsidRPr="0094359F" w:rsidRDefault="006D6E2E" w:rsidP="0094359F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Asta Stipinienė</w:t>
      </w:r>
      <w:r w:rsidRPr="006D6E2E">
        <w:rPr>
          <w:rFonts w:ascii="Times New Roman" w:hAnsi="Times New Roman"/>
          <w:bCs/>
        </w:rPr>
        <w:t xml:space="preserve"> – d</w:t>
      </w:r>
      <w:r w:rsidR="0065679D">
        <w:rPr>
          <w:rFonts w:ascii="Times New Roman" w:hAnsi="Times New Roman"/>
          <w:bCs/>
        </w:rPr>
        <w:t>irektoriaus pavaduotoja ugdymui</w:t>
      </w:r>
    </w:p>
    <w:p w14:paraId="34D0B25B" w14:textId="28E61FBD" w:rsidR="00555A72" w:rsidRPr="005C4A8A" w:rsidRDefault="006D6E2E" w:rsidP="005C4A8A">
      <w:pPr>
        <w:pStyle w:val="Sraopastraipa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FA663A">
        <w:rPr>
          <w:rFonts w:ascii="Times New Roman" w:hAnsi="Times New Roman"/>
          <w:b/>
          <w:bCs/>
        </w:rPr>
        <w:t>Danutė Užuotienė</w:t>
      </w:r>
      <w:r w:rsidRPr="006D6E2E">
        <w:rPr>
          <w:rFonts w:ascii="Times New Roman" w:hAnsi="Times New Roman"/>
          <w:bCs/>
        </w:rPr>
        <w:t xml:space="preserve"> – d</w:t>
      </w:r>
      <w:r w:rsidR="0065679D">
        <w:rPr>
          <w:rFonts w:ascii="Times New Roman" w:hAnsi="Times New Roman"/>
          <w:bCs/>
        </w:rPr>
        <w:t>irektoriaus pavaduotoja ugdymui</w:t>
      </w:r>
    </w:p>
    <w:p w14:paraId="206DCD73" w14:textId="77777777" w:rsidR="009C7996" w:rsidRPr="00052ACE" w:rsidRDefault="00052ACE" w:rsidP="00052ACE">
      <w:pPr>
        <w:spacing w:line="360" w:lineRule="auto"/>
        <w:rPr>
          <w:rFonts w:ascii="Times New Roman" w:hAnsi="Times New Roman"/>
          <w:b/>
          <w:bCs/>
        </w:rPr>
      </w:pPr>
      <w:r w:rsidRPr="00052ACE">
        <w:rPr>
          <w:rFonts w:ascii="Times New Roman" w:hAnsi="Times New Roman"/>
          <w:b/>
          <w:bCs/>
        </w:rPr>
        <w:lastRenderedPageBreak/>
        <w:t>PRIEMONIŲ PLANAS</w:t>
      </w:r>
    </w:p>
    <w:tbl>
      <w:tblPr>
        <w:tblStyle w:val="Lentelstinklelis"/>
        <w:tblW w:w="14737" w:type="dxa"/>
        <w:tblLook w:val="04A0" w:firstRow="1" w:lastRow="0" w:firstColumn="1" w:lastColumn="0" w:noHBand="0" w:noVBand="1"/>
      </w:tblPr>
      <w:tblGrid>
        <w:gridCol w:w="556"/>
        <w:gridCol w:w="3548"/>
        <w:gridCol w:w="5530"/>
        <w:gridCol w:w="1418"/>
        <w:gridCol w:w="2126"/>
        <w:gridCol w:w="1559"/>
      </w:tblGrid>
      <w:tr w:rsidR="003C3BA7" w:rsidRPr="004E044E" w14:paraId="75BD7564" w14:textId="77777777" w:rsidTr="00570EF8">
        <w:tc>
          <w:tcPr>
            <w:tcW w:w="556" w:type="dxa"/>
            <w:vAlign w:val="center"/>
          </w:tcPr>
          <w:p w14:paraId="2F6F7EF5" w14:textId="77777777" w:rsidR="006E340E" w:rsidRPr="004E044E" w:rsidRDefault="006E340E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Eil. Nr.</w:t>
            </w:r>
          </w:p>
        </w:tc>
        <w:tc>
          <w:tcPr>
            <w:tcW w:w="3548" w:type="dxa"/>
            <w:vAlign w:val="center"/>
          </w:tcPr>
          <w:p w14:paraId="63665019" w14:textId="77777777" w:rsidR="006E340E" w:rsidRPr="004E044E" w:rsidRDefault="006E340E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Metodinės veiklos turinys</w:t>
            </w:r>
          </w:p>
        </w:tc>
        <w:tc>
          <w:tcPr>
            <w:tcW w:w="5530" w:type="dxa"/>
            <w:vAlign w:val="center"/>
          </w:tcPr>
          <w:p w14:paraId="671BB9C7" w14:textId="77777777" w:rsidR="006E340E" w:rsidRPr="004E044E" w:rsidRDefault="006E340E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Laukiamas rezultatas</w:t>
            </w:r>
          </w:p>
        </w:tc>
        <w:tc>
          <w:tcPr>
            <w:tcW w:w="1418" w:type="dxa"/>
            <w:vAlign w:val="center"/>
          </w:tcPr>
          <w:p w14:paraId="2DB2FA4F" w14:textId="77777777" w:rsidR="006E340E" w:rsidRPr="004E044E" w:rsidRDefault="00152D94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 xml:space="preserve">Mėnuo </w:t>
            </w:r>
          </w:p>
        </w:tc>
        <w:tc>
          <w:tcPr>
            <w:tcW w:w="2126" w:type="dxa"/>
            <w:vAlign w:val="center"/>
          </w:tcPr>
          <w:p w14:paraId="46397B92" w14:textId="77777777" w:rsidR="006E340E" w:rsidRPr="004E044E" w:rsidRDefault="006E340E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Atsakingas(-i)</w:t>
            </w:r>
          </w:p>
        </w:tc>
        <w:tc>
          <w:tcPr>
            <w:tcW w:w="1559" w:type="dxa"/>
            <w:vAlign w:val="center"/>
          </w:tcPr>
          <w:p w14:paraId="264665D5" w14:textId="77777777" w:rsidR="006E340E" w:rsidRPr="004E044E" w:rsidRDefault="006E340E" w:rsidP="004E044E">
            <w:pPr>
              <w:spacing w:after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Pastabos</w:t>
            </w:r>
          </w:p>
        </w:tc>
      </w:tr>
      <w:tr w:rsidR="00973EBA" w:rsidRPr="004E044E" w14:paraId="369F2A1F" w14:textId="77777777" w:rsidTr="00635C18">
        <w:trPr>
          <w:trHeight w:val="605"/>
        </w:trPr>
        <w:tc>
          <w:tcPr>
            <w:tcW w:w="14737" w:type="dxa"/>
            <w:gridSpan w:val="6"/>
          </w:tcPr>
          <w:p w14:paraId="004D7571" w14:textId="45E706E5" w:rsidR="00EE4C57" w:rsidRPr="005C4A8A" w:rsidRDefault="00EE4C57" w:rsidP="005C4A8A">
            <w:pPr>
              <w:pStyle w:val="Sraopastraipa"/>
              <w:spacing w:after="0" w:line="360" w:lineRule="auto"/>
              <w:ind w:left="7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A8A">
              <w:rPr>
                <w:rFonts w:ascii="Times New Roman" w:hAnsi="Times New Roman"/>
                <w:b/>
                <w:sz w:val="24"/>
                <w:szCs w:val="24"/>
              </w:rPr>
              <w:t xml:space="preserve">1 uždavinys. </w:t>
            </w:r>
            <w:r w:rsidR="005C4A8A" w:rsidRPr="005C4A8A">
              <w:rPr>
                <w:rFonts w:ascii="Times New Roman" w:hAnsi="Times New Roman"/>
                <w:sz w:val="24"/>
                <w:szCs w:val="24"/>
              </w:rPr>
              <w:t>Užtikrinti kryptingą gimnazijos mokytojų metodinių grupių veiklą ir aktyvinti darbo patirties sklaidą bei metodinį, dalykinį, refleksyvų ir atvirą bendradarbiavimą, įgyvendinant Bendrąsias ugdymo programas.</w:t>
            </w:r>
          </w:p>
        </w:tc>
      </w:tr>
      <w:tr w:rsidR="003C3BA7" w:rsidRPr="004E044E" w14:paraId="37E8A809" w14:textId="77777777" w:rsidTr="00570EF8">
        <w:tc>
          <w:tcPr>
            <w:tcW w:w="556" w:type="dxa"/>
          </w:tcPr>
          <w:p w14:paraId="131FB857" w14:textId="77777777" w:rsidR="00EE4C57" w:rsidRPr="004E044E" w:rsidRDefault="00EE4C57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E044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548" w:type="dxa"/>
          </w:tcPr>
          <w:p w14:paraId="42EF91A2" w14:textId="77777777" w:rsidR="00EE4C57" w:rsidRPr="0097668F" w:rsidRDefault="0088291D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668F">
              <w:rPr>
                <w:rFonts w:ascii="Times New Roman" w:hAnsi="Times New Roman"/>
                <w:sz w:val="22"/>
                <w:szCs w:val="22"/>
              </w:rPr>
              <w:t xml:space="preserve">Metodinės veiklos sėkmingumo aptarimas ir tolimesnės veiklos planavimas </w:t>
            </w:r>
            <w:r w:rsidR="0094359F">
              <w:rPr>
                <w:rFonts w:ascii="Times New Roman" w:hAnsi="Times New Roman"/>
                <w:sz w:val="22"/>
                <w:szCs w:val="22"/>
                <w:lang w:val="en-US"/>
              </w:rPr>
              <w:t>2024-2025</w:t>
            </w:r>
            <w:r w:rsidRPr="0097668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mokslo metams</w:t>
            </w:r>
          </w:p>
        </w:tc>
        <w:tc>
          <w:tcPr>
            <w:tcW w:w="5530" w:type="dxa"/>
          </w:tcPr>
          <w:p w14:paraId="7BB2DE3F" w14:textId="506EABBA" w:rsidR="00EE4C57" w:rsidRPr="004E044E" w:rsidRDefault="0088291D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 xml:space="preserve">Metodinėje taryboje </w:t>
            </w:r>
            <w:r w:rsidR="00CF03EA">
              <w:rPr>
                <w:rFonts w:ascii="Times New Roman" w:hAnsi="Times New Roman"/>
                <w:sz w:val="22"/>
                <w:szCs w:val="22"/>
              </w:rPr>
              <w:t xml:space="preserve">bus </w:t>
            </w:r>
            <w:r w:rsidRPr="004E044E">
              <w:rPr>
                <w:rFonts w:ascii="Times New Roman" w:hAnsi="Times New Roman"/>
                <w:sz w:val="22"/>
                <w:szCs w:val="22"/>
              </w:rPr>
              <w:t>kartu aptartos</w:t>
            </w:r>
            <w:r w:rsidR="00EE4C57" w:rsidRPr="004E044E">
              <w:rPr>
                <w:rFonts w:ascii="Times New Roman" w:hAnsi="Times New Roman"/>
                <w:sz w:val="22"/>
                <w:szCs w:val="22"/>
              </w:rPr>
              <w:t xml:space="preserve"> metodinės veiklos sėkmės ir sunkumai</w:t>
            </w:r>
            <w:r w:rsidR="00CF03EA">
              <w:rPr>
                <w:rFonts w:ascii="Times New Roman" w:hAnsi="Times New Roman"/>
                <w:sz w:val="22"/>
                <w:szCs w:val="22"/>
              </w:rPr>
              <w:t>, išvadomis panaudota</w:t>
            </w:r>
            <w:r w:rsidR="00EE4C57" w:rsidRPr="004E044E">
              <w:rPr>
                <w:rFonts w:ascii="Times New Roman" w:hAnsi="Times New Roman"/>
                <w:sz w:val="22"/>
                <w:szCs w:val="22"/>
              </w:rPr>
              <w:t xml:space="preserve"> planuojant tolimesnę veiklą. Tikslingai organizuojama metodinė veikla </w:t>
            </w:r>
            <w:r w:rsidR="00A75D48">
              <w:rPr>
                <w:rFonts w:ascii="Times New Roman" w:hAnsi="Times New Roman"/>
                <w:sz w:val="22"/>
                <w:szCs w:val="22"/>
              </w:rPr>
              <w:t>padės įgyvendinti</w:t>
            </w:r>
            <w:r w:rsidR="005C4A8A">
              <w:rPr>
                <w:rFonts w:ascii="Times New Roman" w:hAnsi="Times New Roman"/>
                <w:sz w:val="22"/>
                <w:szCs w:val="22"/>
              </w:rPr>
              <w:t xml:space="preserve"> TŪM programos ir </w:t>
            </w:r>
            <w:r w:rsidR="00A75D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4C57" w:rsidRPr="004E044E">
              <w:rPr>
                <w:rFonts w:ascii="Times New Roman" w:hAnsi="Times New Roman"/>
                <w:sz w:val="22"/>
                <w:szCs w:val="22"/>
              </w:rPr>
              <w:t>gi</w:t>
            </w:r>
            <w:r w:rsidR="00A75D48">
              <w:rPr>
                <w:rFonts w:ascii="Times New Roman" w:hAnsi="Times New Roman"/>
                <w:sz w:val="22"/>
                <w:szCs w:val="22"/>
              </w:rPr>
              <w:t>mnazijos uždavinius</w:t>
            </w:r>
            <w:r w:rsidR="005C4A8A">
              <w:rPr>
                <w:rFonts w:ascii="Times New Roman" w:hAnsi="Times New Roman"/>
                <w:sz w:val="22"/>
                <w:szCs w:val="22"/>
              </w:rPr>
              <w:t>, atliepiant Bendrąsias programas.</w:t>
            </w:r>
          </w:p>
        </w:tc>
        <w:tc>
          <w:tcPr>
            <w:tcW w:w="1418" w:type="dxa"/>
          </w:tcPr>
          <w:p w14:paraId="18051465" w14:textId="77777777" w:rsidR="00EE4C57" w:rsidRPr="004E044E" w:rsidRDefault="00AF6873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Spalis</w:t>
            </w:r>
          </w:p>
        </w:tc>
        <w:tc>
          <w:tcPr>
            <w:tcW w:w="2126" w:type="dxa"/>
          </w:tcPr>
          <w:p w14:paraId="15EC23C3" w14:textId="77777777" w:rsidR="00EE4C57" w:rsidRPr="004E044E" w:rsidRDefault="00CC6F79" w:rsidP="004E044E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  <w:r w:rsidR="00EE4C57" w:rsidRPr="004E044E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F24A4BE" w14:textId="2B6E6C18" w:rsidR="00EE4C57" w:rsidRPr="004E044E" w:rsidRDefault="00C27B6C" w:rsidP="004E044E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Metodinė taryba</w:t>
            </w:r>
          </w:p>
          <w:p w14:paraId="5BD0C9A4" w14:textId="77777777" w:rsidR="006D70C0" w:rsidRPr="004E044E" w:rsidRDefault="006D70C0" w:rsidP="004E044E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D47064" w14:textId="77777777" w:rsidR="00EE4C57" w:rsidRPr="004E044E" w:rsidRDefault="00EE4C57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359F" w:rsidRPr="004E044E" w14:paraId="167DE7B9" w14:textId="77777777" w:rsidTr="00570EF8">
        <w:tc>
          <w:tcPr>
            <w:tcW w:w="556" w:type="dxa"/>
          </w:tcPr>
          <w:p w14:paraId="738336E9" w14:textId="77777777" w:rsidR="0094359F" w:rsidRPr="004E044E" w:rsidRDefault="00796CBA" w:rsidP="004E044E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8" w:type="dxa"/>
          </w:tcPr>
          <w:p w14:paraId="0BDE7A17" w14:textId="77777777" w:rsidR="0094359F" w:rsidRPr="00796CBA" w:rsidRDefault="0094359F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6CBA">
              <w:rPr>
                <w:rFonts w:ascii="Times New Roman" w:hAnsi="Times New Roman"/>
                <w:sz w:val="22"/>
                <w:szCs w:val="22"/>
              </w:rPr>
              <w:t>Mokinių projektinės veiklos vertinimo aktualijos ir pokyčių poreikis</w:t>
            </w:r>
            <w:r w:rsidR="00796CBA" w:rsidRPr="00796CB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530" w:type="dxa"/>
          </w:tcPr>
          <w:p w14:paraId="70FE7821" w14:textId="77777777" w:rsidR="0094359F" w:rsidRPr="00796CBA" w:rsidRDefault="00796CBA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Bus apsvarstytos ir pataisytos Mokinių projektinės veiklos vertinimo rekomendacijos ir suformuluoti aiškūs kriterijai Fenomenais grįsto ugdymo veiklų vertinimui</w:t>
            </w:r>
          </w:p>
        </w:tc>
        <w:tc>
          <w:tcPr>
            <w:tcW w:w="1418" w:type="dxa"/>
          </w:tcPr>
          <w:p w14:paraId="6D537788" w14:textId="77777777" w:rsidR="0094359F" w:rsidRPr="00796CBA" w:rsidRDefault="00796CBA" w:rsidP="004E044E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6CBA">
              <w:rPr>
                <w:rFonts w:ascii="Times New Roman" w:hAnsi="Times New Roman"/>
                <w:sz w:val="22"/>
                <w:szCs w:val="22"/>
              </w:rPr>
              <w:t>Spalis</w:t>
            </w:r>
          </w:p>
        </w:tc>
        <w:tc>
          <w:tcPr>
            <w:tcW w:w="2126" w:type="dxa"/>
          </w:tcPr>
          <w:p w14:paraId="361D8BD3" w14:textId="3E6DD440" w:rsidR="0094359F" w:rsidRPr="00796CBA" w:rsidRDefault="00C27B6C" w:rsidP="004E044E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Kanišauskaitė, Metodinė taryba</w:t>
            </w:r>
          </w:p>
        </w:tc>
        <w:tc>
          <w:tcPr>
            <w:tcW w:w="1559" w:type="dxa"/>
          </w:tcPr>
          <w:p w14:paraId="2689FB64" w14:textId="77777777" w:rsidR="0094359F" w:rsidRPr="004E044E" w:rsidRDefault="0094359F" w:rsidP="004E044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3BA7" w:rsidRPr="004E044E" w14:paraId="44E1223F" w14:textId="77777777" w:rsidTr="00570EF8">
        <w:tc>
          <w:tcPr>
            <w:tcW w:w="556" w:type="dxa"/>
          </w:tcPr>
          <w:p w14:paraId="772F671D" w14:textId="77777777" w:rsidR="00CC6F79" w:rsidRPr="004E044E" w:rsidRDefault="0097668F" w:rsidP="00CF03EA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48" w:type="dxa"/>
          </w:tcPr>
          <w:p w14:paraId="7093CB9A" w14:textId="5A8042D2" w:rsidR="00CC6F79" w:rsidRPr="00796CBA" w:rsidRDefault="0094359F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96CBA">
              <w:rPr>
                <w:rFonts w:ascii="Times New Roman" w:hAnsi="Times New Roman"/>
                <w:sz w:val="22"/>
                <w:szCs w:val="22"/>
              </w:rPr>
              <w:t xml:space="preserve">Fenomenais grįsto ugdymo išbandymo </w:t>
            </w:r>
            <w:r w:rsidR="003D42EC">
              <w:rPr>
                <w:rFonts w:ascii="Times New Roman" w:hAnsi="Times New Roman"/>
                <w:sz w:val="22"/>
                <w:szCs w:val="22"/>
              </w:rPr>
              <w:t xml:space="preserve">vertinimas </w:t>
            </w:r>
            <w:r w:rsidR="00CC6F79" w:rsidRPr="00796CBA">
              <w:rPr>
                <w:rFonts w:ascii="Times New Roman" w:hAnsi="Times New Roman"/>
                <w:sz w:val="22"/>
                <w:szCs w:val="22"/>
              </w:rPr>
              <w:t>ir probl</w:t>
            </w:r>
            <w:r w:rsidR="0097668F" w:rsidRPr="00796CBA">
              <w:rPr>
                <w:rFonts w:ascii="Times New Roman" w:hAnsi="Times New Roman"/>
                <w:sz w:val="22"/>
                <w:szCs w:val="22"/>
              </w:rPr>
              <w:t xml:space="preserve">emų aptarimas </w:t>
            </w:r>
          </w:p>
        </w:tc>
        <w:tc>
          <w:tcPr>
            <w:tcW w:w="5530" w:type="dxa"/>
          </w:tcPr>
          <w:p w14:paraId="70F6CDC0" w14:textId="24568EED" w:rsidR="00CC6F79" w:rsidRPr="00796CBA" w:rsidRDefault="0097668F" w:rsidP="0094359F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96CBA">
              <w:rPr>
                <w:rFonts w:ascii="Times New Roman" w:hAnsi="Times New Roman"/>
                <w:sz w:val="22"/>
                <w:szCs w:val="22"/>
              </w:rPr>
              <w:t>Bus aptar</w:t>
            </w:r>
            <w:r w:rsidR="0094359F" w:rsidRPr="00796CBA">
              <w:rPr>
                <w:rFonts w:ascii="Times New Roman" w:hAnsi="Times New Roman"/>
                <w:sz w:val="22"/>
                <w:szCs w:val="22"/>
              </w:rPr>
              <w:t>ta</w:t>
            </w:r>
            <w:r w:rsidR="00F342A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4359F" w:rsidRPr="00796CBA">
              <w:rPr>
                <w:rFonts w:ascii="Times New Roman" w:hAnsi="Times New Roman"/>
                <w:sz w:val="22"/>
                <w:szCs w:val="22"/>
              </w:rPr>
              <w:t>Fenomenais grįsto ugdymo patirtis, pasidalinta nuomonėmis</w:t>
            </w:r>
            <w:r w:rsidRPr="00796CBA">
              <w:rPr>
                <w:rFonts w:ascii="Times New Roman" w:hAnsi="Times New Roman"/>
                <w:sz w:val="22"/>
                <w:szCs w:val="22"/>
              </w:rPr>
              <w:t>, išanalizuoti nesklandumai ir numatyti poreikiai</w:t>
            </w:r>
            <w:r w:rsidR="005C4A8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74033DD" w14:textId="640E123B" w:rsidR="00CC6F79" w:rsidRPr="00796CBA" w:rsidRDefault="00F342A2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Gruodis</w:t>
            </w:r>
          </w:p>
        </w:tc>
        <w:tc>
          <w:tcPr>
            <w:tcW w:w="2126" w:type="dxa"/>
          </w:tcPr>
          <w:p w14:paraId="75F6C6A4" w14:textId="77777777" w:rsidR="00C27B6C" w:rsidRDefault="00C27B6C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V. Kanišauskaitė </w:t>
            </w:r>
          </w:p>
          <w:p w14:paraId="05127B88" w14:textId="762148E7" w:rsidR="00CC6F79" w:rsidRPr="0097668F" w:rsidRDefault="0094359F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L. Liukpetrienė</w:t>
            </w:r>
            <w:r w:rsidR="0097668F">
              <w:rPr>
                <w:rFonts w:ascii="Times New Roman" w:hAnsi="Times New Roman"/>
                <w:sz w:val="22"/>
                <w:szCs w:val="22"/>
              </w:rPr>
              <w:t>, metodinių grupių pirmininkai</w:t>
            </w:r>
          </w:p>
        </w:tc>
        <w:tc>
          <w:tcPr>
            <w:tcW w:w="1559" w:type="dxa"/>
          </w:tcPr>
          <w:p w14:paraId="3119C681" w14:textId="77777777" w:rsidR="00CC6F79" w:rsidRPr="004E044E" w:rsidRDefault="00CC6F79" w:rsidP="00CF03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3BA7" w:rsidRPr="004E044E" w14:paraId="4D18276D" w14:textId="77777777" w:rsidTr="00570EF8">
        <w:tc>
          <w:tcPr>
            <w:tcW w:w="556" w:type="dxa"/>
          </w:tcPr>
          <w:p w14:paraId="0BEBAD7F" w14:textId="77777777" w:rsidR="00C010DC" w:rsidRPr="0097668F" w:rsidRDefault="0097668F" w:rsidP="00CF03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8" w:type="dxa"/>
          </w:tcPr>
          <w:p w14:paraId="6B6B961C" w14:textId="77777777" w:rsidR="00815C09" w:rsidRPr="0097668F" w:rsidRDefault="00815C09" w:rsidP="00815C09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668F">
              <w:rPr>
                <w:rFonts w:ascii="Times New Roman" w:hAnsi="Times New Roman"/>
                <w:sz w:val="22"/>
                <w:szCs w:val="22"/>
              </w:rPr>
              <w:t>B</w:t>
            </w:r>
            <w:r w:rsidR="0094359F">
              <w:rPr>
                <w:rFonts w:ascii="Times New Roman" w:hAnsi="Times New Roman"/>
                <w:sz w:val="22"/>
                <w:szCs w:val="22"/>
              </w:rPr>
              <w:t>P įgyvendinimo sėkmingumo  ir problemų</w:t>
            </w:r>
            <w:r w:rsidRPr="0097668F">
              <w:rPr>
                <w:rFonts w:ascii="Times New Roman" w:hAnsi="Times New Roman"/>
                <w:sz w:val="22"/>
                <w:szCs w:val="22"/>
              </w:rPr>
              <w:t xml:space="preserve"> aptarimai</w:t>
            </w:r>
          </w:p>
          <w:p w14:paraId="196A9A20" w14:textId="77777777" w:rsidR="00C010DC" w:rsidRPr="0097668F" w:rsidRDefault="00C010DC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30" w:type="dxa"/>
          </w:tcPr>
          <w:p w14:paraId="29A76B1C" w14:textId="5B67CF73" w:rsidR="00C010DC" w:rsidRPr="0097668F" w:rsidRDefault="0094359F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Bus</w:t>
            </w:r>
            <w:r w:rsidR="00815C09" w:rsidRPr="009766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42A2">
              <w:rPr>
                <w:rFonts w:ascii="Times New Roman" w:hAnsi="Times New Roman"/>
                <w:sz w:val="22"/>
                <w:szCs w:val="22"/>
              </w:rPr>
              <w:t xml:space="preserve">aptarta </w:t>
            </w:r>
            <w:r w:rsidR="00815C09" w:rsidRPr="0097668F">
              <w:rPr>
                <w:rFonts w:ascii="Times New Roman" w:hAnsi="Times New Roman"/>
                <w:sz w:val="22"/>
                <w:szCs w:val="22"/>
              </w:rPr>
              <w:t xml:space="preserve">BP įgyvendinimo sėkmės ir sunkumai. Bus surasti sprendimai iškilusioms problemoms spręsti. Bus pasidalinta darbo patirtimi. </w:t>
            </w:r>
          </w:p>
        </w:tc>
        <w:tc>
          <w:tcPr>
            <w:tcW w:w="1418" w:type="dxa"/>
          </w:tcPr>
          <w:p w14:paraId="16C4CE77" w14:textId="125FBE01" w:rsidR="0094359F" w:rsidRDefault="0094359F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58BF">
              <w:rPr>
                <w:rFonts w:ascii="Times New Roman" w:hAnsi="Times New Roman"/>
                <w:sz w:val="22"/>
                <w:szCs w:val="22"/>
              </w:rPr>
              <w:t>Vasaris</w:t>
            </w:r>
          </w:p>
          <w:p w14:paraId="1731750A" w14:textId="77777777" w:rsidR="0094359F" w:rsidRPr="0097668F" w:rsidRDefault="0094359F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Birželis</w:t>
            </w:r>
          </w:p>
        </w:tc>
        <w:tc>
          <w:tcPr>
            <w:tcW w:w="2126" w:type="dxa"/>
          </w:tcPr>
          <w:p w14:paraId="46500005" w14:textId="77777777" w:rsidR="00C27B6C" w:rsidRDefault="00C27B6C" w:rsidP="00815C09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</w:p>
          <w:p w14:paraId="5F63B0E3" w14:textId="1FCAE8C1" w:rsidR="00815C09" w:rsidRPr="0097668F" w:rsidRDefault="00815C09" w:rsidP="00815C09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7668F">
              <w:rPr>
                <w:rFonts w:ascii="Times New Roman" w:hAnsi="Times New Roman"/>
                <w:sz w:val="22"/>
                <w:szCs w:val="22"/>
              </w:rPr>
              <w:t>Metodinė taryba,</w:t>
            </w:r>
          </w:p>
          <w:p w14:paraId="0E85CD68" w14:textId="77777777" w:rsidR="00C010DC" w:rsidRPr="0097668F" w:rsidRDefault="00815C09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97668F">
              <w:rPr>
                <w:rFonts w:ascii="Times New Roman" w:hAnsi="Times New Roman"/>
                <w:sz w:val="22"/>
                <w:szCs w:val="22"/>
              </w:rPr>
              <w:t>administracija</w:t>
            </w:r>
          </w:p>
        </w:tc>
        <w:tc>
          <w:tcPr>
            <w:tcW w:w="1559" w:type="dxa"/>
          </w:tcPr>
          <w:p w14:paraId="3E25D98F" w14:textId="77777777" w:rsidR="00C010DC" w:rsidRPr="004E044E" w:rsidRDefault="00C010DC" w:rsidP="00CF03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3BA7" w:rsidRPr="004E044E" w14:paraId="0CDBD087" w14:textId="77777777" w:rsidTr="00570EF8">
        <w:tc>
          <w:tcPr>
            <w:tcW w:w="556" w:type="dxa"/>
          </w:tcPr>
          <w:p w14:paraId="32AD70B1" w14:textId="77777777" w:rsidR="00CF03EA" w:rsidRPr="004E044E" w:rsidRDefault="0097668F" w:rsidP="00CF03EA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48" w:type="dxa"/>
          </w:tcPr>
          <w:p w14:paraId="42C905F3" w14:textId="77777777" w:rsidR="00CF03EA" w:rsidRPr="005F437F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Bandomųjų brandos egzaminų organizavimo</w:t>
            </w:r>
            <w:r w:rsidR="00E25504" w:rsidRPr="005F437F">
              <w:rPr>
                <w:rFonts w:ascii="Times New Roman" w:hAnsi="Times New Roman"/>
                <w:sz w:val="22"/>
                <w:szCs w:val="22"/>
              </w:rPr>
              <w:t xml:space="preserve"> poreikio</w:t>
            </w:r>
            <w:r w:rsidRPr="005F437F">
              <w:rPr>
                <w:rFonts w:ascii="Times New Roman" w:hAnsi="Times New Roman"/>
                <w:sz w:val="22"/>
                <w:szCs w:val="22"/>
              </w:rPr>
              <w:t>, vertinimo formų ir priemonių, skirtų mokinių pasiekimams gerinti, aptarimas</w:t>
            </w:r>
          </w:p>
        </w:tc>
        <w:tc>
          <w:tcPr>
            <w:tcW w:w="5530" w:type="dxa"/>
          </w:tcPr>
          <w:p w14:paraId="34F61857" w14:textId="77777777" w:rsidR="00CF03EA" w:rsidRPr="005F437F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Bus susitarta dėl bandomųjų egzaminų vykdymo ir vertinimo formų, mokiniams bus sudarytos galimybės pasitikrinti savo žinias ir gebėjimus, ruošiantis brandos egzaminams. Egzaminų rezultatai bus panaudoti pedagoginės pagalbos teikimo efektyvinimui.</w:t>
            </w:r>
          </w:p>
        </w:tc>
        <w:tc>
          <w:tcPr>
            <w:tcW w:w="1418" w:type="dxa"/>
          </w:tcPr>
          <w:p w14:paraId="60108C02" w14:textId="253E994A" w:rsidR="00CF03EA" w:rsidRPr="005F437F" w:rsidRDefault="0028430A" w:rsidP="0097668F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Sausis</w:t>
            </w:r>
            <w:r w:rsidR="00E82F6B" w:rsidRPr="005F437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CF03EA" w:rsidRPr="005F437F">
              <w:rPr>
                <w:rFonts w:ascii="Times New Roman" w:hAnsi="Times New Roman"/>
                <w:sz w:val="22"/>
                <w:szCs w:val="22"/>
              </w:rPr>
              <w:t xml:space="preserve">balandis </w:t>
            </w:r>
          </w:p>
        </w:tc>
        <w:tc>
          <w:tcPr>
            <w:tcW w:w="2126" w:type="dxa"/>
          </w:tcPr>
          <w:p w14:paraId="75D810B9" w14:textId="77777777" w:rsidR="00CF03EA" w:rsidRPr="005F437F" w:rsidRDefault="00CF03EA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 xml:space="preserve">S. Stapulionienė, </w:t>
            </w:r>
          </w:p>
          <w:p w14:paraId="7D068DE7" w14:textId="1DD73DB3" w:rsidR="00CF03EA" w:rsidRPr="005F437F" w:rsidRDefault="00C27B6C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I. Jakubonienė</w:t>
            </w:r>
            <w:r w:rsidR="00E25504" w:rsidRPr="005F437F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F7ECB21" w14:textId="77777777" w:rsidR="00CF03EA" w:rsidRPr="005F437F" w:rsidRDefault="00CF03EA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 xml:space="preserve">R. Lukošiūnaitė, </w:t>
            </w:r>
          </w:p>
          <w:p w14:paraId="3E43A6B3" w14:textId="77777777" w:rsidR="00CF03EA" w:rsidRPr="005F437F" w:rsidRDefault="00CF03EA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M. Grigaliūnienė</w:t>
            </w:r>
          </w:p>
        </w:tc>
        <w:tc>
          <w:tcPr>
            <w:tcW w:w="1559" w:type="dxa"/>
          </w:tcPr>
          <w:p w14:paraId="445F08A7" w14:textId="77777777" w:rsidR="00CF03EA" w:rsidRPr="004E044E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3BA7" w:rsidRPr="004E044E" w14:paraId="5EF15046" w14:textId="77777777" w:rsidTr="00570EF8">
        <w:tc>
          <w:tcPr>
            <w:tcW w:w="556" w:type="dxa"/>
          </w:tcPr>
          <w:p w14:paraId="22F04BD4" w14:textId="40B79B9D" w:rsidR="00CF03EA" w:rsidRPr="004E044E" w:rsidRDefault="0065679D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548" w:type="dxa"/>
          </w:tcPr>
          <w:p w14:paraId="7799D8FB" w14:textId="77777777" w:rsidR="00E25504" w:rsidRPr="005F437F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Bendradarbiavimas su Biržų „Saulės“ gimnazijos</w:t>
            </w:r>
            <w:r w:rsidR="0060141D" w:rsidRPr="005F437F">
              <w:rPr>
                <w:rFonts w:ascii="Times New Roman" w:hAnsi="Times New Roman"/>
                <w:sz w:val="22"/>
                <w:szCs w:val="22"/>
              </w:rPr>
              <w:t>,</w:t>
            </w:r>
            <w:r w:rsidRPr="005F43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7FBD" w:rsidRPr="005F437F">
              <w:rPr>
                <w:rFonts w:ascii="Times New Roman" w:hAnsi="Times New Roman"/>
                <w:sz w:val="22"/>
                <w:szCs w:val="22"/>
              </w:rPr>
              <w:t xml:space="preserve">Pakruojo „Atžalyno“ ir </w:t>
            </w:r>
            <w:r w:rsidRPr="005F437F">
              <w:rPr>
                <w:rFonts w:ascii="Times New Roman" w:hAnsi="Times New Roman"/>
                <w:sz w:val="22"/>
                <w:szCs w:val="22"/>
              </w:rPr>
              <w:t>kitų mokyklų metodinėmis tarybomis</w:t>
            </w:r>
          </w:p>
          <w:p w14:paraId="642614A2" w14:textId="1F5C5953" w:rsidR="009A671E" w:rsidRPr="005F437F" w:rsidRDefault="00E25504" w:rsidP="00E25504">
            <w:pPr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 xml:space="preserve">Bendradarbiavimas su Valmieros 2 vidurinės mokyklos (Latvija) ir Tartu </w:t>
            </w:r>
            <w:proofErr w:type="spellStart"/>
            <w:r w:rsidRPr="005F437F">
              <w:rPr>
                <w:rFonts w:ascii="Times New Roman" w:hAnsi="Times New Roman"/>
                <w:sz w:val="22"/>
                <w:szCs w:val="22"/>
              </w:rPr>
              <w:t>Anneli</w:t>
            </w:r>
            <w:r w:rsidR="0065679D">
              <w:rPr>
                <w:rFonts w:ascii="Times New Roman" w:hAnsi="Times New Roman"/>
                <w:sz w:val="22"/>
                <w:szCs w:val="22"/>
              </w:rPr>
              <w:t>n</w:t>
            </w:r>
            <w:r w:rsidRPr="005F437F">
              <w:rPr>
                <w:rFonts w:ascii="Times New Roman" w:hAnsi="Times New Roman"/>
                <w:sz w:val="22"/>
                <w:szCs w:val="22"/>
              </w:rPr>
              <w:t>na</w:t>
            </w:r>
            <w:proofErr w:type="spellEnd"/>
            <w:r w:rsidRPr="005F437F">
              <w:rPr>
                <w:rFonts w:ascii="Times New Roman" w:hAnsi="Times New Roman"/>
                <w:sz w:val="22"/>
                <w:szCs w:val="22"/>
              </w:rPr>
              <w:t xml:space="preserve"> gimnazijos (Estija) mokytojais</w:t>
            </w:r>
            <w:r w:rsidR="005F437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530" w:type="dxa"/>
          </w:tcPr>
          <w:p w14:paraId="23F28A02" w14:textId="2E0EE43E" w:rsidR="00CF03EA" w:rsidRPr="0097668F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668F">
              <w:rPr>
                <w:rFonts w:ascii="Times New Roman" w:hAnsi="Times New Roman"/>
                <w:sz w:val="22"/>
                <w:szCs w:val="22"/>
              </w:rPr>
              <w:t>Bus puoselėjami metodinių tarybų bendradarb</w:t>
            </w:r>
            <w:r w:rsidR="003D42EC">
              <w:rPr>
                <w:rFonts w:ascii="Times New Roman" w:hAnsi="Times New Roman"/>
                <w:sz w:val="22"/>
                <w:szCs w:val="22"/>
              </w:rPr>
              <w:t>iavimo ryšiai, dalijamasi pedagogine</w:t>
            </w:r>
            <w:r w:rsidRPr="0097668F">
              <w:rPr>
                <w:rFonts w:ascii="Times New Roman" w:hAnsi="Times New Roman"/>
                <w:sz w:val="22"/>
                <w:szCs w:val="22"/>
              </w:rPr>
              <w:t xml:space="preserve"> patirtimi, vykdoma metodinė sklaida tarp bendradarbiaujančių mokyklų mokytojų. Bus nuolat ieškoma galimybių bendradarbiauti su kitomis mokyklomis vykdant projektus, konkursus, kvalifikacijos tobulinimo bei kitus renginius.</w:t>
            </w:r>
          </w:p>
        </w:tc>
        <w:tc>
          <w:tcPr>
            <w:tcW w:w="1418" w:type="dxa"/>
          </w:tcPr>
          <w:p w14:paraId="2AA52B92" w14:textId="77777777" w:rsidR="00CF03EA" w:rsidRPr="0097668F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7668F">
              <w:rPr>
                <w:rFonts w:ascii="Times New Roman" w:hAnsi="Times New Roman"/>
                <w:sz w:val="22"/>
                <w:szCs w:val="22"/>
              </w:rPr>
              <w:t>Pagal galimybes per mokslo metus</w:t>
            </w:r>
          </w:p>
        </w:tc>
        <w:tc>
          <w:tcPr>
            <w:tcW w:w="2126" w:type="dxa"/>
          </w:tcPr>
          <w:p w14:paraId="1D854666" w14:textId="6043459C" w:rsidR="00CF03EA" w:rsidRPr="0097668F" w:rsidRDefault="00E25504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</w:p>
          <w:p w14:paraId="1CEA800A" w14:textId="0A91D06D" w:rsidR="00CF03EA" w:rsidRPr="0097668F" w:rsidRDefault="009A671E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CF03EA" w:rsidRPr="0097668F">
              <w:rPr>
                <w:rFonts w:ascii="Times New Roman" w:hAnsi="Times New Roman"/>
                <w:sz w:val="22"/>
                <w:szCs w:val="22"/>
              </w:rPr>
              <w:t>etodinių grupių pirmininkai</w:t>
            </w:r>
          </w:p>
        </w:tc>
        <w:tc>
          <w:tcPr>
            <w:tcW w:w="1559" w:type="dxa"/>
          </w:tcPr>
          <w:p w14:paraId="6B3EAFF6" w14:textId="77777777" w:rsidR="00CF03EA" w:rsidRPr="004E044E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3BA7" w:rsidRPr="004E044E" w14:paraId="30C23313" w14:textId="77777777" w:rsidTr="00570EF8">
        <w:tc>
          <w:tcPr>
            <w:tcW w:w="556" w:type="dxa"/>
          </w:tcPr>
          <w:p w14:paraId="6AA17A73" w14:textId="69239073" w:rsidR="008B3010" w:rsidRDefault="0065679D" w:rsidP="00CF03EA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548" w:type="dxa"/>
          </w:tcPr>
          <w:p w14:paraId="4FE372A1" w14:textId="2F902022" w:rsidR="008B3010" w:rsidRPr="005F437F" w:rsidRDefault="008B3010" w:rsidP="008B30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37F">
              <w:rPr>
                <w:rFonts w:ascii="Times New Roman" w:hAnsi="Times New Roman"/>
                <w:sz w:val="24"/>
                <w:szCs w:val="24"/>
              </w:rPr>
              <w:t>Mokytojų dalinimasis patirtimi mokinių motyvacijos skatinim</w:t>
            </w:r>
            <w:r w:rsidR="00316CE4" w:rsidRPr="005F437F">
              <w:rPr>
                <w:rFonts w:ascii="Times New Roman" w:hAnsi="Times New Roman"/>
                <w:sz w:val="24"/>
                <w:szCs w:val="24"/>
              </w:rPr>
              <w:t>o ir kūrybingumo ugdymo srityje</w:t>
            </w:r>
          </w:p>
          <w:p w14:paraId="63B1770F" w14:textId="77777777" w:rsidR="008B3010" w:rsidRPr="00E25504" w:rsidRDefault="008B3010" w:rsidP="00CF03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530" w:type="dxa"/>
          </w:tcPr>
          <w:p w14:paraId="2A315BDC" w14:textId="77777777" w:rsidR="008B3010" w:rsidRPr="00097FBD" w:rsidRDefault="008B3010" w:rsidP="00CF03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BD">
              <w:rPr>
                <w:rFonts w:ascii="Times New Roman" w:hAnsi="Times New Roman"/>
                <w:sz w:val="24"/>
                <w:szCs w:val="24"/>
              </w:rPr>
              <w:t>Mokytojai dalinsis patirtimi, ieškant naujų patrauklių mokymosi formų ir įsivertinimo, skatinančių mokymosi motyvaciją, stiprinančių mokinių atsakomybę už savo tobulėjimą ir ūgtį.</w:t>
            </w:r>
          </w:p>
        </w:tc>
        <w:tc>
          <w:tcPr>
            <w:tcW w:w="1418" w:type="dxa"/>
          </w:tcPr>
          <w:p w14:paraId="429DBF7E" w14:textId="77777777" w:rsidR="008B3010" w:rsidRPr="00097FBD" w:rsidRDefault="00C42074" w:rsidP="00CF03E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97FBD" w:rsidRPr="00097FBD">
              <w:rPr>
                <w:rFonts w:ascii="Times New Roman" w:hAnsi="Times New Roman"/>
                <w:sz w:val="24"/>
                <w:szCs w:val="24"/>
              </w:rPr>
              <w:t>er mokslo metus</w:t>
            </w:r>
          </w:p>
        </w:tc>
        <w:tc>
          <w:tcPr>
            <w:tcW w:w="2126" w:type="dxa"/>
          </w:tcPr>
          <w:p w14:paraId="5756ACDE" w14:textId="77777777" w:rsidR="00C27B6C" w:rsidRDefault="00C27B6C" w:rsidP="008B3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Kanišauskaitė</w:t>
            </w:r>
          </w:p>
          <w:p w14:paraId="38C823EF" w14:textId="06E9EDDB" w:rsidR="008B3010" w:rsidRPr="00097FBD" w:rsidRDefault="00097FBD" w:rsidP="008B3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7FBD">
              <w:rPr>
                <w:rFonts w:ascii="Times New Roman" w:hAnsi="Times New Roman"/>
                <w:sz w:val="24"/>
                <w:szCs w:val="24"/>
              </w:rPr>
              <w:t>M</w:t>
            </w:r>
            <w:r w:rsidR="008B3010" w:rsidRPr="00097FBD">
              <w:rPr>
                <w:rFonts w:ascii="Times New Roman" w:hAnsi="Times New Roman"/>
                <w:sz w:val="24"/>
                <w:szCs w:val="24"/>
              </w:rPr>
              <w:t>etodinių grupių</w:t>
            </w:r>
          </w:p>
          <w:p w14:paraId="71175586" w14:textId="77777777" w:rsidR="008B3010" w:rsidRPr="00097FBD" w:rsidRDefault="008B3010" w:rsidP="008B30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97FBD">
              <w:rPr>
                <w:rFonts w:ascii="Times New Roman" w:hAnsi="Times New Roman"/>
                <w:sz w:val="24"/>
                <w:szCs w:val="24"/>
              </w:rPr>
              <w:t>pirmininkai</w:t>
            </w:r>
          </w:p>
          <w:p w14:paraId="2738DD62" w14:textId="77777777" w:rsidR="008B3010" w:rsidRPr="00097FBD" w:rsidRDefault="008B3010" w:rsidP="00CF03EA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B91BB10" w14:textId="77777777" w:rsidR="008B3010" w:rsidRPr="00C42074" w:rsidRDefault="00C42074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2074">
              <w:rPr>
                <w:rFonts w:ascii="Times New Roman" w:hAnsi="Times New Roman"/>
                <w:sz w:val="22"/>
                <w:szCs w:val="22"/>
              </w:rPr>
              <w:t>Gimnazijos mokytojai</w:t>
            </w:r>
          </w:p>
        </w:tc>
      </w:tr>
      <w:tr w:rsidR="003C3BA7" w:rsidRPr="004E044E" w14:paraId="021DA72E" w14:textId="77777777" w:rsidTr="00570EF8">
        <w:tc>
          <w:tcPr>
            <w:tcW w:w="556" w:type="dxa"/>
          </w:tcPr>
          <w:p w14:paraId="252E26B6" w14:textId="0E487279" w:rsidR="00CF03EA" w:rsidRPr="008B3010" w:rsidRDefault="0065679D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48" w:type="dxa"/>
          </w:tcPr>
          <w:p w14:paraId="768FE08B" w14:textId="77777777" w:rsidR="00CF03EA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„Tūkstantmečio mokyklų“ programos veiklų vykdymas</w:t>
            </w:r>
          </w:p>
          <w:p w14:paraId="08A618D4" w14:textId="77777777" w:rsidR="00CF03EA" w:rsidRPr="002A3A8C" w:rsidRDefault="00CF03EA" w:rsidP="00CF03EA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671338E2" w14:textId="77777777" w:rsidR="00CF03EA" w:rsidRPr="004E044E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Pagal „Tūkstantmečio mokyklų“ programą bus vykdomos suplanuotos veiklos, skatinančios STEAM plėtrą, kultūrinį-meninį ugdymą, mokytojų kūrybiškumo, lyderystės ir įtraukiojo ugdymo kompetencijų tobulinimą. Bus išplėstos galimybės siekti aukštesnių gimnazijos veiklos rezultatų</w:t>
            </w:r>
            <w:r w:rsidRPr="004E04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677A14F5" w14:textId="77777777" w:rsidR="00CF03EA" w:rsidRPr="004E044E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 mokslo metus</w:t>
            </w:r>
          </w:p>
        </w:tc>
        <w:tc>
          <w:tcPr>
            <w:tcW w:w="2126" w:type="dxa"/>
          </w:tcPr>
          <w:p w14:paraId="5182F98F" w14:textId="65401F0E" w:rsidR="00CF03EA" w:rsidRPr="004E044E" w:rsidRDefault="0028430A" w:rsidP="00CF03EA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Administracija</w:t>
            </w:r>
          </w:p>
          <w:p w14:paraId="28ACB4C6" w14:textId="390B9D61" w:rsidR="00CF03EA" w:rsidRPr="004E044E" w:rsidRDefault="003D42EC" w:rsidP="0058028E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="0058028E">
              <w:rPr>
                <w:rFonts w:ascii="Times New Roman" w:hAnsi="Times New Roman"/>
                <w:sz w:val="22"/>
                <w:szCs w:val="22"/>
              </w:rPr>
              <w:t>etodinės tarybos nariai</w:t>
            </w:r>
          </w:p>
        </w:tc>
        <w:tc>
          <w:tcPr>
            <w:tcW w:w="1559" w:type="dxa"/>
          </w:tcPr>
          <w:p w14:paraId="049FD0E5" w14:textId="77777777" w:rsidR="00CF03EA" w:rsidRPr="004E044E" w:rsidRDefault="00CF03EA" w:rsidP="00CF03EA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3EA" w:rsidRPr="004E044E" w14:paraId="7E55B121" w14:textId="77777777" w:rsidTr="00635C18">
        <w:tc>
          <w:tcPr>
            <w:tcW w:w="14737" w:type="dxa"/>
            <w:gridSpan w:val="6"/>
          </w:tcPr>
          <w:p w14:paraId="46A335D9" w14:textId="02CE9BBA" w:rsidR="00CF03EA" w:rsidRPr="004E044E" w:rsidRDefault="00CF03EA" w:rsidP="003D42EC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61D3">
              <w:rPr>
                <w:rFonts w:ascii="Times New Roman" w:hAnsi="Times New Roman"/>
                <w:b/>
                <w:sz w:val="22"/>
                <w:szCs w:val="22"/>
              </w:rPr>
              <w:t xml:space="preserve">2 </w:t>
            </w:r>
            <w:r w:rsidRPr="004E044E">
              <w:rPr>
                <w:rFonts w:ascii="Times New Roman" w:hAnsi="Times New Roman"/>
                <w:b/>
                <w:sz w:val="22"/>
                <w:szCs w:val="22"/>
              </w:rPr>
              <w:t>uždavinys.</w:t>
            </w:r>
            <w:r w:rsidRPr="004E04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42EC">
              <w:rPr>
                <w:rFonts w:ascii="Times New Roman" w:hAnsi="Times New Roman"/>
                <w:sz w:val="22"/>
                <w:szCs w:val="22"/>
              </w:rPr>
              <w:t>2.</w:t>
            </w:r>
            <w:r w:rsidR="003D42EC">
              <w:rPr>
                <w:rFonts w:ascii="Times New Roman" w:hAnsi="Times New Roman"/>
                <w:sz w:val="22"/>
                <w:szCs w:val="22"/>
              </w:rPr>
              <w:tab/>
              <w:t>Dalintis pedagogine patirtimi, į</w:t>
            </w:r>
            <w:r w:rsidR="00316CE4" w:rsidRPr="00316CE4">
              <w:rPr>
                <w:rFonts w:ascii="Times New Roman" w:hAnsi="Times New Roman"/>
                <w:sz w:val="22"/>
                <w:szCs w:val="22"/>
              </w:rPr>
              <w:t xml:space="preserve">gyvendinant </w:t>
            </w:r>
            <w:r w:rsidR="00257C8B">
              <w:rPr>
                <w:rFonts w:ascii="Times New Roman" w:hAnsi="Times New Roman"/>
                <w:sz w:val="22"/>
                <w:szCs w:val="22"/>
              </w:rPr>
              <w:t xml:space="preserve">Tarptautiškumo strategiją, </w:t>
            </w:r>
            <w:r w:rsidR="00316CE4" w:rsidRPr="00316CE4">
              <w:rPr>
                <w:rFonts w:ascii="Times New Roman" w:hAnsi="Times New Roman"/>
                <w:sz w:val="22"/>
                <w:szCs w:val="22"/>
              </w:rPr>
              <w:t>TŪM programą ir organizuojant veiklas, skatinančias mokinių mokymosi motyvaciją ir ugdant kūrybingumą.</w:t>
            </w:r>
          </w:p>
        </w:tc>
      </w:tr>
      <w:tr w:rsidR="003C3BA7" w:rsidRPr="004E044E" w14:paraId="720AEFA4" w14:textId="77777777" w:rsidTr="00E25504">
        <w:trPr>
          <w:trHeight w:val="1692"/>
        </w:trPr>
        <w:tc>
          <w:tcPr>
            <w:tcW w:w="556" w:type="dxa"/>
          </w:tcPr>
          <w:p w14:paraId="38793407" w14:textId="5EDA84BE" w:rsidR="003D69E8" w:rsidRPr="004E044E" w:rsidRDefault="0065679D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548" w:type="dxa"/>
          </w:tcPr>
          <w:p w14:paraId="1CCDBFE5" w14:textId="38CD0313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Tarptautinio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Erasmus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plus</w:t>
            </w:r>
            <w:proofErr w:type="spellEnd"/>
            <w:r w:rsidRPr="004E044E">
              <w:rPr>
                <w:rFonts w:ascii="Times New Roman" w:hAnsi="Times New Roman"/>
                <w:sz w:val="22"/>
                <w:szCs w:val="22"/>
              </w:rPr>
              <w:t xml:space="preserve"> projekto patirtis, ugdant </w:t>
            </w:r>
            <w:r w:rsidR="00257C8B">
              <w:rPr>
                <w:rFonts w:ascii="Times New Roman" w:hAnsi="Times New Roman"/>
                <w:sz w:val="22"/>
                <w:szCs w:val="22"/>
              </w:rPr>
              <w:t>mokinių savarankiškumą ir organizuotumą</w:t>
            </w:r>
          </w:p>
        </w:tc>
        <w:tc>
          <w:tcPr>
            <w:tcW w:w="5530" w:type="dxa"/>
          </w:tcPr>
          <w:p w14:paraId="1C477562" w14:textId="5FC30D1D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Bus pristatyta tarptautinio projekto patirti</w:t>
            </w:r>
            <w:r w:rsidR="00257C8B">
              <w:rPr>
                <w:rFonts w:ascii="Times New Roman" w:hAnsi="Times New Roman"/>
                <w:sz w:val="22"/>
                <w:szCs w:val="22"/>
              </w:rPr>
              <w:t xml:space="preserve">s kūrybingumo </w:t>
            </w:r>
            <w:r w:rsidRPr="004E044E">
              <w:rPr>
                <w:rFonts w:ascii="Times New Roman" w:hAnsi="Times New Roman"/>
                <w:sz w:val="22"/>
                <w:szCs w:val="22"/>
              </w:rPr>
              <w:t>ugdymo procese, dalijamasi pedagogine patirtimi</w:t>
            </w:r>
            <w:r w:rsidR="00031557">
              <w:rPr>
                <w:rFonts w:ascii="Times New Roman" w:hAnsi="Times New Roman"/>
                <w:sz w:val="22"/>
                <w:szCs w:val="22"/>
              </w:rPr>
              <w:t>, aptarta</w:t>
            </w:r>
            <w:r w:rsidR="009A671E">
              <w:rPr>
                <w:rFonts w:ascii="Times New Roman" w:hAnsi="Times New Roman"/>
                <w:sz w:val="22"/>
                <w:szCs w:val="22"/>
              </w:rPr>
              <w:t>s</w:t>
            </w:r>
            <w:r w:rsidR="00031557">
              <w:rPr>
                <w:rFonts w:ascii="Times New Roman" w:hAnsi="Times New Roman"/>
                <w:sz w:val="22"/>
                <w:szCs w:val="22"/>
              </w:rPr>
              <w:t xml:space="preserve"> mokytojų, mokinių ir tėvų</w:t>
            </w:r>
            <w:r w:rsidR="009A67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A671E">
              <w:rPr>
                <w:rFonts w:ascii="Times New Roman" w:hAnsi="Times New Roman"/>
                <w:sz w:val="22"/>
                <w:szCs w:val="22"/>
              </w:rPr>
              <w:t>Erasmus</w:t>
            </w:r>
            <w:proofErr w:type="spellEnd"/>
            <w:r w:rsidR="009A67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A671E">
              <w:rPr>
                <w:rFonts w:ascii="Times New Roman" w:hAnsi="Times New Roman"/>
                <w:sz w:val="22"/>
                <w:szCs w:val="22"/>
              </w:rPr>
              <w:t>plus</w:t>
            </w:r>
            <w:proofErr w:type="spellEnd"/>
            <w:r w:rsidR="009A671E">
              <w:rPr>
                <w:rFonts w:ascii="Times New Roman" w:hAnsi="Times New Roman"/>
                <w:sz w:val="22"/>
                <w:szCs w:val="22"/>
              </w:rPr>
              <w:t xml:space="preserve"> projekto veiklų vertinimas</w:t>
            </w:r>
            <w:r w:rsidR="000315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044E">
              <w:rPr>
                <w:rFonts w:ascii="Times New Roman" w:hAnsi="Times New Roman"/>
                <w:sz w:val="22"/>
                <w:szCs w:val="22"/>
              </w:rPr>
              <w:t xml:space="preserve">. Įvairių dalykų mokytojai tobulins dalykines ir bendrąsias kompetencijas. </w:t>
            </w:r>
          </w:p>
        </w:tc>
        <w:tc>
          <w:tcPr>
            <w:tcW w:w="1418" w:type="dxa"/>
          </w:tcPr>
          <w:p w14:paraId="7C6EE51F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 xml:space="preserve">Vasaris </w:t>
            </w:r>
          </w:p>
        </w:tc>
        <w:tc>
          <w:tcPr>
            <w:tcW w:w="2126" w:type="dxa"/>
          </w:tcPr>
          <w:p w14:paraId="7E0E2F0B" w14:textId="17B47B84" w:rsidR="003D69E8" w:rsidRPr="004E044E" w:rsidRDefault="003D69E8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</w:p>
          <w:p w14:paraId="1DEC5658" w14:textId="24C3B35E" w:rsidR="003C3BA7" w:rsidRPr="004E044E" w:rsidRDefault="003C3BA7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A. Stipinienė </w:t>
            </w:r>
          </w:p>
        </w:tc>
        <w:tc>
          <w:tcPr>
            <w:tcW w:w="1559" w:type="dxa"/>
          </w:tcPr>
          <w:p w14:paraId="0EB933F5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3BA7" w:rsidRPr="004E044E" w14:paraId="290B136E" w14:textId="77777777" w:rsidTr="00570EF8">
        <w:tc>
          <w:tcPr>
            <w:tcW w:w="556" w:type="dxa"/>
          </w:tcPr>
          <w:p w14:paraId="3945F137" w14:textId="7E8A1F53" w:rsidR="003D69E8" w:rsidRPr="004E044E" w:rsidRDefault="0065679D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3548" w:type="dxa"/>
          </w:tcPr>
          <w:p w14:paraId="4B43A605" w14:textId="77777777" w:rsidR="003D69E8" w:rsidRPr="004E044E" w:rsidRDefault="003D69E8" w:rsidP="00302324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Atvirų pamokų</w:t>
            </w:r>
            <w:r w:rsidR="00302324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="00302324" w:rsidRPr="003C3BA7">
              <w:rPr>
                <w:rFonts w:ascii="Times New Roman" w:hAnsi="Times New Roman"/>
                <w:sz w:val="22"/>
                <w:szCs w:val="22"/>
              </w:rPr>
              <w:t>veiklų</w:t>
            </w:r>
            <w:r w:rsidRPr="003C3BA7">
              <w:rPr>
                <w:rFonts w:ascii="Times New Roman" w:hAnsi="Times New Roman"/>
                <w:sz w:val="22"/>
                <w:szCs w:val="22"/>
              </w:rPr>
              <w:t>, kuriose mokytojai sėkmingai</w:t>
            </w:r>
            <w:r w:rsidR="00302324" w:rsidRPr="003C3BA7">
              <w:rPr>
                <w:rFonts w:ascii="Times New Roman" w:hAnsi="Times New Roman"/>
                <w:sz w:val="22"/>
                <w:szCs w:val="22"/>
              </w:rPr>
              <w:t xml:space="preserve"> ugdo mokinių įvairias kompetencijas, </w:t>
            </w:r>
            <w:r w:rsidRPr="003C3BA7">
              <w:rPr>
                <w:rFonts w:ascii="Times New Roman" w:hAnsi="Times New Roman"/>
                <w:sz w:val="22"/>
                <w:szCs w:val="22"/>
              </w:rPr>
              <w:t xml:space="preserve"> taiko  įtraukiojo ugdymo strategijas, </w:t>
            </w:r>
            <w:r w:rsidRPr="003C3BA7">
              <w:rPr>
                <w:rFonts w:ascii="Times New Roman" w:hAnsi="Times New Roman"/>
                <w:sz w:val="22"/>
                <w:szCs w:val="22"/>
              </w:rPr>
              <w:lastRenderedPageBreak/>
              <w:t>individualios pažangos matavimo modelį, stebėjimas</w:t>
            </w:r>
          </w:p>
        </w:tc>
        <w:tc>
          <w:tcPr>
            <w:tcW w:w="5530" w:type="dxa"/>
          </w:tcPr>
          <w:p w14:paraId="7D44DBE3" w14:textId="2067F795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lastRenderedPageBreak/>
              <w:t>Kiekvienoje metodinėje grupėje bus skatinama organizuoti įvairias integruotas veiklas,</w:t>
            </w:r>
            <w:r w:rsidR="00F342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42A2" w:rsidRPr="005F437F">
              <w:rPr>
                <w:rFonts w:ascii="Times New Roman" w:hAnsi="Times New Roman"/>
                <w:sz w:val="22"/>
                <w:szCs w:val="22"/>
              </w:rPr>
              <w:t>atviras pamokas</w:t>
            </w:r>
            <w:r w:rsidR="00F342A2">
              <w:rPr>
                <w:rFonts w:ascii="Times New Roman" w:hAnsi="Times New Roman"/>
                <w:sz w:val="22"/>
                <w:szCs w:val="22"/>
              </w:rPr>
              <w:t>,</w:t>
            </w:r>
            <w:r w:rsidRPr="004E044E">
              <w:rPr>
                <w:rFonts w:ascii="Times New Roman" w:hAnsi="Times New Roman"/>
                <w:sz w:val="22"/>
                <w:szCs w:val="22"/>
              </w:rPr>
              <w:t xml:space="preserve"> orientuotas </w:t>
            </w:r>
            <w:r w:rsidR="00302324">
              <w:rPr>
                <w:rFonts w:ascii="Times New Roman" w:hAnsi="Times New Roman"/>
                <w:sz w:val="22"/>
                <w:szCs w:val="22"/>
              </w:rPr>
              <w:t xml:space="preserve">į mokinių </w:t>
            </w:r>
            <w:r w:rsidRPr="004E044E">
              <w:rPr>
                <w:rFonts w:ascii="Times New Roman" w:hAnsi="Times New Roman"/>
                <w:sz w:val="22"/>
                <w:szCs w:val="22"/>
              </w:rPr>
              <w:t xml:space="preserve"> kompetencijų ugdymą. Bus plėtojamos mokytojų bendradarbiavimo kompetencijos, stiprės kolegialus ryšys.</w:t>
            </w:r>
          </w:p>
        </w:tc>
        <w:tc>
          <w:tcPr>
            <w:tcW w:w="1418" w:type="dxa"/>
          </w:tcPr>
          <w:p w14:paraId="55B49E02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Per mokslo metus</w:t>
            </w:r>
          </w:p>
        </w:tc>
        <w:tc>
          <w:tcPr>
            <w:tcW w:w="2126" w:type="dxa"/>
          </w:tcPr>
          <w:p w14:paraId="0D1E8706" w14:textId="77777777" w:rsidR="003D69E8" w:rsidRPr="004E044E" w:rsidRDefault="003D69E8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Metodinių grupių pirmininkai</w:t>
            </w:r>
          </w:p>
          <w:p w14:paraId="672EB1EA" w14:textId="77777777" w:rsidR="003D69E8" w:rsidRPr="004E044E" w:rsidRDefault="003D69E8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6C5BD1" w14:textId="77777777" w:rsidR="003D69E8" w:rsidRPr="003C3BA7" w:rsidRDefault="003C3BA7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3BA7">
              <w:rPr>
                <w:rFonts w:ascii="Times New Roman" w:hAnsi="Times New Roman"/>
                <w:sz w:val="22"/>
                <w:szCs w:val="22"/>
              </w:rPr>
              <w:t xml:space="preserve">Gimnazijos </w:t>
            </w:r>
            <w:r w:rsidR="003D69E8" w:rsidRPr="003C3BA7">
              <w:rPr>
                <w:rFonts w:ascii="Times New Roman" w:hAnsi="Times New Roman"/>
                <w:sz w:val="22"/>
                <w:szCs w:val="22"/>
              </w:rPr>
              <w:t>mokytojai</w:t>
            </w:r>
          </w:p>
        </w:tc>
      </w:tr>
      <w:tr w:rsidR="003C3BA7" w:rsidRPr="004E044E" w14:paraId="05D8DADC" w14:textId="77777777" w:rsidTr="00570EF8">
        <w:tc>
          <w:tcPr>
            <w:tcW w:w="556" w:type="dxa"/>
          </w:tcPr>
          <w:p w14:paraId="28F526C6" w14:textId="39A714B8" w:rsidR="003D69E8" w:rsidRPr="004E044E" w:rsidRDefault="0065679D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3548" w:type="dxa"/>
          </w:tcPr>
          <w:p w14:paraId="5FDD3C2A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 xml:space="preserve">Dalykinių dienų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bei renginių </w:t>
            </w:r>
            <w:r w:rsidRPr="004E044E">
              <w:rPr>
                <w:rFonts w:ascii="Times New Roman" w:hAnsi="Times New Roman"/>
                <w:sz w:val="22"/>
                <w:szCs w:val="22"/>
              </w:rPr>
              <w:t>organizavimas</w:t>
            </w:r>
          </w:p>
        </w:tc>
        <w:tc>
          <w:tcPr>
            <w:tcW w:w="5530" w:type="dxa"/>
          </w:tcPr>
          <w:p w14:paraId="1BE683C5" w14:textId="77777777" w:rsidR="003D69E8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 xml:space="preserve">Matematikos, lietuvių, anglų kalbų, gamtos ir socialinių mokslų bei menų dienų metu bus organizuojamos integruotos, kūrybinės veiklos, supažindinančios su dalykinėmis inovacijomis ir ugdančios mokinių bei mokytojų </w:t>
            </w:r>
            <w:r w:rsidR="00257C8B">
              <w:rPr>
                <w:rFonts w:ascii="Times New Roman" w:hAnsi="Times New Roman"/>
                <w:sz w:val="22"/>
                <w:szCs w:val="22"/>
              </w:rPr>
              <w:t>kultūrines</w:t>
            </w:r>
            <w:r w:rsidR="00E22002">
              <w:rPr>
                <w:rFonts w:ascii="Times New Roman" w:hAnsi="Times New Roman"/>
                <w:sz w:val="22"/>
                <w:szCs w:val="22"/>
              </w:rPr>
              <w:t xml:space="preserve"> bei </w:t>
            </w:r>
            <w:r w:rsidR="006208D3">
              <w:rPr>
                <w:rFonts w:ascii="Times New Roman" w:hAnsi="Times New Roman"/>
                <w:sz w:val="22"/>
                <w:szCs w:val="22"/>
              </w:rPr>
              <w:t>kūrybiškumo</w:t>
            </w:r>
            <w:r w:rsidR="00257C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E044E">
              <w:rPr>
                <w:rFonts w:ascii="Times New Roman" w:hAnsi="Times New Roman"/>
                <w:sz w:val="22"/>
                <w:szCs w:val="22"/>
              </w:rPr>
              <w:t xml:space="preserve"> kompetencijas.</w:t>
            </w:r>
          </w:p>
          <w:p w14:paraId="455A06FA" w14:textId="6D8B8126" w:rsidR="0028430A" w:rsidRPr="004E044E" w:rsidRDefault="0028430A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9CA77FE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044E">
              <w:rPr>
                <w:rFonts w:ascii="Times New Roman" w:hAnsi="Times New Roman"/>
                <w:sz w:val="22"/>
                <w:szCs w:val="22"/>
              </w:rPr>
              <w:t>Per mokslo metus</w:t>
            </w:r>
          </w:p>
        </w:tc>
        <w:tc>
          <w:tcPr>
            <w:tcW w:w="2126" w:type="dxa"/>
          </w:tcPr>
          <w:p w14:paraId="576A1693" w14:textId="77777777" w:rsidR="003D69E8" w:rsidRPr="004E044E" w:rsidRDefault="003D69E8" w:rsidP="003D69E8">
            <w:pPr>
              <w:pStyle w:val="prastasis1"/>
              <w:spacing w:line="360" w:lineRule="auto"/>
              <w:rPr>
                <w:color w:val="auto"/>
                <w:sz w:val="22"/>
                <w:szCs w:val="22"/>
              </w:rPr>
            </w:pPr>
            <w:r w:rsidRPr="004E044E">
              <w:rPr>
                <w:sz w:val="22"/>
                <w:szCs w:val="22"/>
              </w:rPr>
              <w:t>Metodinės tarybos nariai</w:t>
            </w:r>
          </w:p>
        </w:tc>
        <w:tc>
          <w:tcPr>
            <w:tcW w:w="1559" w:type="dxa"/>
          </w:tcPr>
          <w:p w14:paraId="1BF0F44C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69E8" w:rsidRPr="004E044E" w14:paraId="172810CB" w14:textId="77777777" w:rsidTr="00635C18">
        <w:tc>
          <w:tcPr>
            <w:tcW w:w="14737" w:type="dxa"/>
            <w:gridSpan w:val="6"/>
          </w:tcPr>
          <w:p w14:paraId="6B50D5D4" w14:textId="77777777" w:rsidR="003D69E8" w:rsidRPr="00940038" w:rsidRDefault="00940038" w:rsidP="0094003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3D69E8" w:rsidRPr="00940038">
              <w:rPr>
                <w:rFonts w:ascii="Times New Roman" w:hAnsi="Times New Roman"/>
                <w:b/>
                <w:sz w:val="22"/>
                <w:szCs w:val="22"/>
              </w:rPr>
              <w:t>3 uždavinys.</w:t>
            </w:r>
            <w:r w:rsidR="0097668F" w:rsidRPr="009400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2324" w:rsidRPr="00940038">
              <w:rPr>
                <w:rFonts w:ascii="Times New Roman" w:hAnsi="Times New Roman"/>
                <w:sz w:val="24"/>
                <w:szCs w:val="24"/>
              </w:rPr>
              <w:t xml:space="preserve">Tikslingai tobulinti pedagoginių darbuotojų kvalifikacijos organizavimą vadovaujantis nacionaliniais 2023–2025 </w:t>
            </w:r>
            <w:r w:rsidR="000E602F" w:rsidRPr="00940038">
              <w:rPr>
                <w:rFonts w:ascii="Times New Roman" w:hAnsi="Times New Roman"/>
                <w:sz w:val="24"/>
                <w:szCs w:val="24"/>
              </w:rPr>
              <w:t xml:space="preserve">metais </w:t>
            </w:r>
            <w:r w:rsidR="00302324" w:rsidRPr="00940038">
              <w:rPr>
                <w:rFonts w:ascii="Times New Roman" w:hAnsi="Times New Roman"/>
                <w:sz w:val="24"/>
                <w:szCs w:val="24"/>
              </w:rPr>
              <w:t>priori</w:t>
            </w:r>
            <w:r w:rsidR="0097668F" w:rsidRPr="00940038">
              <w:rPr>
                <w:rFonts w:ascii="Times New Roman" w:hAnsi="Times New Roman"/>
                <w:sz w:val="24"/>
                <w:szCs w:val="24"/>
              </w:rPr>
              <w:t>tetais ir gimnazijos poreikiais bei siekiant efektyvaus išteklių panaudojimo.</w:t>
            </w:r>
          </w:p>
        </w:tc>
      </w:tr>
      <w:tr w:rsidR="003C3BA7" w:rsidRPr="004E044E" w14:paraId="718F6A46" w14:textId="77777777" w:rsidTr="00570EF8">
        <w:tc>
          <w:tcPr>
            <w:tcW w:w="556" w:type="dxa"/>
          </w:tcPr>
          <w:p w14:paraId="7718E913" w14:textId="5D9559E1" w:rsidR="003D69E8" w:rsidRPr="00940038" w:rsidRDefault="00B14698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5679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48" w:type="dxa"/>
          </w:tcPr>
          <w:p w14:paraId="11B279FD" w14:textId="3776D249" w:rsidR="003D69E8" w:rsidRPr="00E22002" w:rsidRDefault="00E22002" w:rsidP="00E22002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002">
              <w:rPr>
                <w:rFonts w:ascii="Times New Roman" w:hAnsi="Times New Roman"/>
                <w:sz w:val="22"/>
                <w:szCs w:val="22"/>
              </w:rPr>
              <w:t>Mokytojų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2002">
              <w:rPr>
                <w:rFonts w:ascii="Times New Roman" w:hAnsi="Times New Roman"/>
                <w:sz w:val="22"/>
                <w:szCs w:val="22"/>
              </w:rPr>
              <w:t>kvalifikacijos kėlimas, dalijantis patirtimi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22002">
              <w:rPr>
                <w:rFonts w:ascii="Times New Roman" w:hAnsi="Times New Roman"/>
                <w:sz w:val="22"/>
                <w:szCs w:val="22"/>
              </w:rPr>
              <w:t xml:space="preserve">mokinių motyvacijos ir kūrybingumo </w:t>
            </w:r>
            <w:r>
              <w:rPr>
                <w:rFonts w:ascii="Times New Roman" w:hAnsi="Times New Roman"/>
                <w:sz w:val="22"/>
                <w:szCs w:val="22"/>
              </w:rPr>
              <w:t>ugdymo</w:t>
            </w:r>
            <w:r w:rsidRPr="00E22002">
              <w:rPr>
                <w:rFonts w:ascii="Times New Roman" w:hAnsi="Times New Roman"/>
                <w:sz w:val="22"/>
                <w:szCs w:val="22"/>
              </w:rPr>
              <w:t xml:space="preserve"> srityje</w:t>
            </w:r>
          </w:p>
        </w:tc>
        <w:tc>
          <w:tcPr>
            <w:tcW w:w="5530" w:type="dxa"/>
          </w:tcPr>
          <w:p w14:paraId="06FE8A99" w14:textId="3E17DEB1" w:rsidR="003D69E8" w:rsidRPr="005F437F" w:rsidRDefault="00E22002" w:rsidP="005F437F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 xml:space="preserve">Įgyvendinant Fenomenais grįsto ugdymo veiklas mokytojai </w:t>
            </w:r>
            <w:r w:rsidR="006208D3" w:rsidRPr="005F437F">
              <w:rPr>
                <w:rFonts w:ascii="Times New Roman" w:hAnsi="Times New Roman"/>
                <w:sz w:val="22"/>
                <w:szCs w:val="22"/>
              </w:rPr>
              <w:t>diskutuos, dalinsis pedagogine patirtimi, suplanuos ir įgyvendins fenomenines veiklas</w:t>
            </w:r>
            <w:r w:rsidR="00D91E44" w:rsidRPr="005F437F">
              <w:rPr>
                <w:rFonts w:ascii="Times New Roman" w:hAnsi="Times New Roman"/>
                <w:sz w:val="22"/>
                <w:szCs w:val="22"/>
              </w:rPr>
              <w:t xml:space="preserve">, dalinsis </w:t>
            </w:r>
            <w:r w:rsidR="00031557" w:rsidRPr="005F437F">
              <w:rPr>
                <w:rFonts w:ascii="Times New Roman" w:hAnsi="Times New Roman"/>
                <w:sz w:val="22"/>
                <w:szCs w:val="22"/>
              </w:rPr>
              <w:t>darbo</w:t>
            </w:r>
            <w:r w:rsidR="00D91E44" w:rsidRPr="005F437F">
              <w:rPr>
                <w:rFonts w:ascii="Times New Roman" w:hAnsi="Times New Roman"/>
                <w:sz w:val="22"/>
                <w:szCs w:val="22"/>
              </w:rPr>
              <w:t xml:space="preserve"> patirtimi</w:t>
            </w:r>
            <w:r w:rsidR="00031557" w:rsidRPr="005F437F">
              <w:rPr>
                <w:rFonts w:ascii="Times New Roman" w:hAnsi="Times New Roman"/>
                <w:sz w:val="22"/>
                <w:szCs w:val="22"/>
              </w:rPr>
              <w:t xml:space="preserve"> įvai</w:t>
            </w:r>
            <w:r w:rsidR="00D91E44" w:rsidRPr="005F437F">
              <w:rPr>
                <w:rFonts w:ascii="Times New Roman" w:hAnsi="Times New Roman"/>
                <w:sz w:val="22"/>
                <w:szCs w:val="22"/>
              </w:rPr>
              <w:t>riose fenomenų</w:t>
            </w:r>
          </w:p>
        </w:tc>
        <w:tc>
          <w:tcPr>
            <w:tcW w:w="1418" w:type="dxa"/>
          </w:tcPr>
          <w:p w14:paraId="6E17BF16" w14:textId="52B517AE" w:rsidR="003D69E8" w:rsidRPr="005F437F" w:rsidRDefault="006208D3" w:rsidP="005F437F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Rugsėjis-</w:t>
            </w:r>
            <w:r w:rsidR="00031557" w:rsidRPr="005F437F">
              <w:rPr>
                <w:rFonts w:ascii="Times New Roman" w:hAnsi="Times New Roman"/>
                <w:sz w:val="22"/>
                <w:szCs w:val="22"/>
              </w:rPr>
              <w:t>gruodis</w:t>
            </w:r>
          </w:p>
        </w:tc>
        <w:tc>
          <w:tcPr>
            <w:tcW w:w="2126" w:type="dxa"/>
          </w:tcPr>
          <w:p w14:paraId="4BFAF433" w14:textId="77777777" w:rsidR="003D69E8" w:rsidRPr="005F437F" w:rsidRDefault="00031557" w:rsidP="005F437F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L. Liukpetrienė</w:t>
            </w:r>
          </w:p>
          <w:p w14:paraId="501BDA85" w14:textId="76F2D6CC" w:rsidR="00031557" w:rsidRPr="005F437F" w:rsidRDefault="00031557" w:rsidP="005F437F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Metodinės grupės</w:t>
            </w:r>
          </w:p>
        </w:tc>
        <w:tc>
          <w:tcPr>
            <w:tcW w:w="1559" w:type="dxa"/>
          </w:tcPr>
          <w:p w14:paraId="579B0804" w14:textId="25CC057F" w:rsidR="003D69E8" w:rsidRPr="005F437F" w:rsidRDefault="009A671E" w:rsidP="005F437F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Fenomenuose dalyvavę mokytojai</w:t>
            </w:r>
          </w:p>
        </w:tc>
      </w:tr>
      <w:tr w:rsidR="003C3BA7" w:rsidRPr="004E044E" w14:paraId="4EDCDDF7" w14:textId="77777777" w:rsidTr="00570EF8">
        <w:tc>
          <w:tcPr>
            <w:tcW w:w="556" w:type="dxa"/>
          </w:tcPr>
          <w:p w14:paraId="25ED040E" w14:textId="59CF2963" w:rsidR="003D69E8" w:rsidRPr="004E044E" w:rsidRDefault="00B14698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6567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48" w:type="dxa"/>
          </w:tcPr>
          <w:p w14:paraId="10C1540C" w14:textId="4AA619AC" w:rsidR="003D69E8" w:rsidRPr="00E22002" w:rsidRDefault="00E22002" w:rsidP="00E22002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002">
              <w:rPr>
                <w:rFonts w:ascii="Times New Roman" w:hAnsi="Times New Roman"/>
                <w:sz w:val="22"/>
                <w:szCs w:val="22"/>
              </w:rPr>
              <w:t>Mokytojų kūrybinių kompetencijų tobulinimas bendradarbiaujant su</w:t>
            </w:r>
            <w:r w:rsidR="006208D3">
              <w:rPr>
                <w:rFonts w:ascii="Times New Roman" w:hAnsi="Times New Roman"/>
                <w:sz w:val="22"/>
                <w:szCs w:val="22"/>
              </w:rPr>
              <w:t xml:space="preserve"> Fenomenais grįsto ugdymo metodikos lektoriais</w:t>
            </w:r>
          </w:p>
        </w:tc>
        <w:tc>
          <w:tcPr>
            <w:tcW w:w="5530" w:type="dxa"/>
          </w:tcPr>
          <w:p w14:paraId="63C2045C" w14:textId="4A477369" w:rsidR="003D69E8" w:rsidRPr="005F437F" w:rsidRDefault="006208D3" w:rsidP="00B1469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Mokytojai komandomis dalyvaus Fenomenais grįsto ugdymo mokymuose bei konsultacijose, išmoks praktiškai taikyti šią metodiką</w:t>
            </w:r>
          </w:p>
        </w:tc>
        <w:tc>
          <w:tcPr>
            <w:tcW w:w="1418" w:type="dxa"/>
          </w:tcPr>
          <w:p w14:paraId="252E1983" w14:textId="09F3873C" w:rsidR="003D69E8" w:rsidRPr="005F437F" w:rsidRDefault="006208D3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Rugsėjis-lapkritis</w:t>
            </w:r>
          </w:p>
        </w:tc>
        <w:tc>
          <w:tcPr>
            <w:tcW w:w="2126" w:type="dxa"/>
          </w:tcPr>
          <w:p w14:paraId="15F1EA37" w14:textId="77777777" w:rsidR="003D69E8" w:rsidRPr="005F437F" w:rsidRDefault="00031557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L. Liukpetrienė</w:t>
            </w:r>
          </w:p>
          <w:p w14:paraId="5EE8F31D" w14:textId="569277A1" w:rsidR="00031557" w:rsidRPr="005F437F" w:rsidRDefault="00031557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Metodinės grupės</w:t>
            </w:r>
          </w:p>
        </w:tc>
        <w:tc>
          <w:tcPr>
            <w:tcW w:w="1559" w:type="dxa"/>
          </w:tcPr>
          <w:p w14:paraId="29C392A0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3C3BA7" w:rsidRPr="004E044E" w14:paraId="7354058E" w14:textId="77777777" w:rsidTr="00570EF8">
        <w:tc>
          <w:tcPr>
            <w:tcW w:w="556" w:type="dxa"/>
          </w:tcPr>
          <w:p w14:paraId="0A3C1E68" w14:textId="611F59BD" w:rsidR="003D69E8" w:rsidRPr="004E044E" w:rsidRDefault="0065679D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548" w:type="dxa"/>
          </w:tcPr>
          <w:p w14:paraId="3F672ECF" w14:textId="48AD9723" w:rsidR="003D69E8" w:rsidRPr="00E22002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Dalyvavimo kvalifikacijos tobulinimo įstaigų organizuojamuose seminaruose, kursuose, savišvietos ir patirties sklaidos aptarimas</w:t>
            </w:r>
            <w:r w:rsidR="005F437F" w:rsidRPr="005F437F">
              <w:rPr>
                <w:rFonts w:ascii="Times New Roman" w:hAnsi="Times New Roman"/>
                <w:sz w:val="22"/>
                <w:szCs w:val="22"/>
              </w:rPr>
              <w:t xml:space="preserve"> ir poveikio analizė</w:t>
            </w:r>
          </w:p>
        </w:tc>
        <w:tc>
          <w:tcPr>
            <w:tcW w:w="5530" w:type="dxa"/>
          </w:tcPr>
          <w:p w14:paraId="747B896C" w14:textId="77777777" w:rsidR="003D69E8" w:rsidRPr="005F437F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Mokytojai metodinėse grupėse geranoriškai dalinsis patirtimi, seminarų, kursų medžiaga, bus puoselėjama bendradarbiavimo kultūra, planuojamas kryptingas kvalifikacijos kėlimas kitiems metams.</w:t>
            </w:r>
          </w:p>
        </w:tc>
        <w:tc>
          <w:tcPr>
            <w:tcW w:w="1418" w:type="dxa"/>
          </w:tcPr>
          <w:p w14:paraId="4253E65A" w14:textId="77777777" w:rsidR="003D69E8" w:rsidRPr="005F437F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Per mokslo metus</w:t>
            </w:r>
          </w:p>
        </w:tc>
        <w:tc>
          <w:tcPr>
            <w:tcW w:w="2126" w:type="dxa"/>
          </w:tcPr>
          <w:p w14:paraId="27B8D6C0" w14:textId="77777777" w:rsidR="003D69E8" w:rsidRPr="005F437F" w:rsidRDefault="003D69E8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Metodinių grupių pirmininkai</w:t>
            </w:r>
          </w:p>
        </w:tc>
        <w:tc>
          <w:tcPr>
            <w:tcW w:w="1559" w:type="dxa"/>
          </w:tcPr>
          <w:p w14:paraId="7913453C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3BA7" w:rsidRPr="004E044E" w14:paraId="18DB2687" w14:textId="77777777" w:rsidTr="00570EF8">
        <w:tc>
          <w:tcPr>
            <w:tcW w:w="556" w:type="dxa"/>
          </w:tcPr>
          <w:p w14:paraId="7966150A" w14:textId="0FAE5461" w:rsidR="003D69E8" w:rsidRPr="004E044E" w:rsidRDefault="0065679D" w:rsidP="00396AD5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48" w:type="dxa"/>
          </w:tcPr>
          <w:p w14:paraId="5C421598" w14:textId="77777777" w:rsidR="003D69E8" w:rsidRPr="005F437F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 xml:space="preserve">Metodinės, pedagoginės literatūros naujienų, pedagogams skirtų informacinių leidinių apžvalga ir aptarimas. Mokytojų kompetencijų </w:t>
            </w:r>
            <w:r w:rsidRPr="005F437F">
              <w:rPr>
                <w:rFonts w:ascii="Times New Roman" w:hAnsi="Times New Roman"/>
                <w:sz w:val="22"/>
                <w:szCs w:val="22"/>
              </w:rPr>
              <w:lastRenderedPageBreak/>
              <w:t>tobulinimas nuotoliniu būdu. Savišvieta.</w:t>
            </w:r>
          </w:p>
        </w:tc>
        <w:tc>
          <w:tcPr>
            <w:tcW w:w="5530" w:type="dxa"/>
          </w:tcPr>
          <w:p w14:paraId="6E4356E3" w14:textId="77777777" w:rsidR="003D69E8" w:rsidRPr="005F437F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Mokytojai metodinėse grupėse su kolegomis nuolat dalinsis metodinėmis naujienomis, aptars naujausius informacinius leidinius, nuotolinius kvalifikacijos tobulinimo renginius. </w:t>
            </w:r>
            <w:r w:rsidRPr="005F437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Tobulės mokytojų kompetencijos bei stiprės jų tarpusavio supratimas ir bendradarbiavimas. </w:t>
            </w:r>
          </w:p>
        </w:tc>
        <w:tc>
          <w:tcPr>
            <w:tcW w:w="1418" w:type="dxa"/>
          </w:tcPr>
          <w:p w14:paraId="2869272C" w14:textId="77777777" w:rsidR="003D69E8" w:rsidRPr="005F437F" w:rsidRDefault="00C42074" w:rsidP="003D69E8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lastRenderedPageBreak/>
              <w:t>Per</w:t>
            </w:r>
            <w:r w:rsidR="003D69E8" w:rsidRPr="005F437F">
              <w:rPr>
                <w:rFonts w:ascii="Times New Roman" w:hAnsi="Times New Roman"/>
                <w:sz w:val="22"/>
                <w:szCs w:val="22"/>
              </w:rPr>
              <w:t xml:space="preserve"> mokslo metus</w:t>
            </w:r>
          </w:p>
        </w:tc>
        <w:tc>
          <w:tcPr>
            <w:tcW w:w="2126" w:type="dxa"/>
          </w:tcPr>
          <w:p w14:paraId="65107B41" w14:textId="77777777" w:rsidR="003D69E8" w:rsidRPr="005F437F" w:rsidRDefault="003D69E8" w:rsidP="003D69E8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Metodinių grupių pirmininkai</w:t>
            </w:r>
          </w:p>
        </w:tc>
        <w:tc>
          <w:tcPr>
            <w:tcW w:w="1559" w:type="dxa"/>
          </w:tcPr>
          <w:p w14:paraId="44555643" w14:textId="77777777" w:rsidR="003D69E8" w:rsidRPr="004E044E" w:rsidRDefault="003D69E8" w:rsidP="003D69E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27B6C" w:rsidRPr="004E044E" w14:paraId="78F39127" w14:textId="77777777" w:rsidTr="003D69E8">
        <w:trPr>
          <w:trHeight w:val="708"/>
        </w:trPr>
        <w:tc>
          <w:tcPr>
            <w:tcW w:w="556" w:type="dxa"/>
          </w:tcPr>
          <w:p w14:paraId="499094B3" w14:textId="2D15B275" w:rsidR="00C27B6C" w:rsidRDefault="0065679D" w:rsidP="00C27B6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548" w:type="dxa"/>
          </w:tcPr>
          <w:p w14:paraId="4AA5853F" w14:textId="4FD6C558" w:rsidR="00C27B6C" w:rsidRPr="005F437F" w:rsidRDefault="00C27B6C" w:rsidP="00C27B6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F437F">
              <w:rPr>
                <w:rFonts w:ascii="Times New Roman" w:hAnsi="Times New Roman"/>
                <w:sz w:val="24"/>
                <w:szCs w:val="24"/>
              </w:rPr>
              <w:t>Fenomenais grįsto ugdymo metodikos iš</w:t>
            </w:r>
            <w:r w:rsidR="005F437F" w:rsidRPr="005F437F">
              <w:rPr>
                <w:rFonts w:ascii="Times New Roman" w:hAnsi="Times New Roman"/>
                <w:sz w:val="24"/>
                <w:szCs w:val="24"/>
              </w:rPr>
              <w:t>bandymo baigiamasis renginys</w:t>
            </w:r>
          </w:p>
        </w:tc>
        <w:tc>
          <w:tcPr>
            <w:tcW w:w="5530" w:type="dxa"/>
          </w:tcPr>
          <w:p w14:paraId="4AF5A325" w14:textId="3EC3B4B6" w:rsidR="00C27B6C" w:rsidRPr="005F437F" w:rsidRDefault="00C27B6C" w:rsidP="00C27B6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5F437F">
              <w:rPr>
                <w:rFonts w:ascii="Times New Roman" w:hAnsi="Times New Roman"/>
                <w:sz w:val="24"/>
                <w:szCs w:val="24"/>
              </w:rPr>
              <w:t>Bus išanalizuotos šios metodikos išbandymo sėkmės ir nesėkmės, efektyvumas, pasidalinta pedagogine patirtimi, aptartos metodikos taikymo ateities perspektyvos  ir galimybės</w:t>
            </w:r>
          </w:p>
        </w:tc>
        <w:tc>
          <w:tcPr>
            <w:tcW w:w="1418" w:type="dxa"/>
          </w:tcPr>
          <w:p w14:paraId="4C809370" w14:textId="675A499D" w:rsidR="00C27B6C" w:rsidRDefault="005F437F" w:rsidP="00C27B6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Balandis</w:t>
            </w:r>
          </w:p>
        </w:tc>
        <w:tc>
          <w:tcPr>
            <w:tcW w:w="2126" w:type="dxa"/>
          </w:tcPr>
          <w:p w14:paraId="7DD17F16" w14:textId="4658CED8" w:rsidR="00C27B6C" w:rsidRDefault="005F437F" w:rsidP="00C27B6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Administracija</w:t>
            </w:r>
          </w:p>
          <w:p w14:paraId="7BA51716" w14:textId="1D939197" w:rsidR="00D91E44" w:rsidRDefault="00D91E44" w:rsidP="00C27B6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  <w:tc>
          <w:tcPr>
            <w:tcW w:w="1559" w:type="dxa"/>
          </w:tcPr>
          <w:p w14:paraId="07739A50" w14:textId="60F55056" w:rsidR="00C27B6C" w:rsidRPr="004E044E" w:rsidRDefault="005F437F" w:rsidP="00C27B6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Metodikos išbandyme dalyvavę mokytojai</w:t>
            </w:r>
          </w:p>
        </w:tc>
      </w:tr>
      <w:tr w:rsidR="00C27B6C" w:rsidRPr="004E044E" w14:paraId="7A035AB7" w14:textId="77777777" w:rsidTr="003D69E8">
        <w:trPr>
          <w:trHeight w:val="708"/>
        </w:trPr>
        <w:tc>
          <w:tcPr>
            <w:tcW w:w="556" w:type="dxa"/>
          </w:tcPr>
          <w:p w14:paraId="2A61C8E2" w14:textId="444E687E" w:rsidR="00C27B6C" w:rsidRPr="004E044E" w:rsidRDefault="0065679D" w:rsidP="00C27B6C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48" w:type="dxa"/>
          </w:tcPr>
          <w:p w14:paraId="046456A7" w14:textId="1C7695C7" w:rsidR="00C27B6C" w:rsidRPr="005F437F" w:rsidRDefault="00C27B6C" w:rsidP="00C27B6C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 xml:space="preserve">Mokytojų įsivertinimas ir mokslo metų refleksijos aptarimas </w:t>
            </w:r>
          </w:p>
        </w:tc>
        <w:tc>
          <w:tcPr>
            <w:tcW w:w="5530" w:type="dxa"/>
          </w:tcPr>
          <w:p w14:paraId="185D0243" w14:textId="50810627" w:rsidR="00C27B6C" w:rsidRPr="005F437F" w:rsidRDefault="00C27B6C" w:rsidP="00C27B6C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Mokytojai dalinsis patirtimi, stiprės jų tarpusavio supratimas ir bendradarbiavimas, bus išryškintas kvalifikacijos  tobulinimo kryptys kitiems mokslo metams</w:t>
            </w:r>
          </w:p>
        </w:tc>
        <w:tc>
          <w:tcPr>
            <w:tcW w:w="1418" w:type="dxa"/>
          </w:tcPr>
          <w:p w14:paraId="432C83A8" w14:textId="77777777" w:rsidR="00C27B6C" w:rsidRPr="005F437F" w:rsidRDefault="00C27B6C" w:rsidP="00C27B6C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F437F">
              <w:rPr>
                <w:rFonts w:ascii="Times New Roman" w:hAnsi="Times New Roman"/>
                <w:sz w:val="22"/>
                <w:szCs w:val="22"/>
              </w:rPr>
              <w:t>Birželis</w:t>
            </w:r>
          </w:p>
        </w:tc>
        <w:tc>
          <w:tcPr>
            <w:tcW w:w="2126" w:type="dxa"/>
          </w:tcPr>
          <w:p w14:paraId="0AAD6AD9" w14:textId="77777777" w:rsidR="00C27B6C" w:rsidRDefault="00C27B6C" w:rsidP="00C27B6C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V. Kanišauskaitė</w:t>
            </w:r>
          </w:p>
          <w:p w14:paraId="1DC38A2B" w14:textId="36344CDD" w:rsidR="00C27B6C" w:rsidRPr="00940038" w:rsidRDefault="00C27B6C" w:rsidP="00C27B6C">
            <w:pPr>
              <w:spacing w:after="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Metodinių grupių pirmininkai</w:t>
            </w:r>
          </w:p>
        </w:tc>
        <w:tc>
          <w:tcPr>
            <w:tcW w:w="1559" w:type="dxa"/>
          </w:tcPr>
          <w:p w14:paraId="719847B2" w14:textId="77777777" w:rsidR="00C27B6C" w:rsidRPr="004E044E" w:rsidRDefault="00C27B6C" w:rsidP="00C27B6C">
            <w:pPr>
              <w:spacing w:after="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BC23C7" w14:textId="77777777" w:rsidR="006039E4" w:rsidRPr="00635C18" w:rsidRDefault="006039E4">
      <w:pPr>
        <w:rPr>
          <w:rFonts w:ascii="Times New Roman" w:hAnsi="Times New Roman"/>
        </w:rPr>
      </w:pPr>
    </w:p>
    <w:p w14:paraId="65B56886" w14:textId="77777777" w:rsidR="00D94A47" w:rsidRPr="00635C18" w:rsidRDefault="00D94A47">
      <w:pPr>
        <w:rPr>
          <w:rFonts w:ascii="Times New Roman" w:hAnsi="Times New Roman"/>
        </w:rPr>
      </w:pPr>
    </w:p>
    <w:p w14:paraId="7B77D7C9" w14:textId="77777777" w:rsidR="009A312C" w:rsidRPr="00635C18" w:rsidRDefault="009A312C" w:rsidP="00AA3942">
      <w:pPr>
        <w:spacing w:after="0"/>
        <w:jc w:val="both"/>
        <w:rPr>
          <w:rFonts w:ascii="Times New Roman" w:hAnsi="Times New Roman"/>
        </w:rPr>
      </w:pPr>
      <w:r w:rsidRPr="00635C18">
        <w:rPr>
          <w:rFonts w:ascii="Times New Roman" w:hAnsi="Times New Roman"/>
        </w:rPr>
        <w:t xml:space="preserve">PRITARTA                                                                                               </w:t>
      </w:r>
    </w:p>
    <w:p w14:paraId="3F9E2491" w14:textId="45078F43" w:rsidR="009A312C" w:rsidRDefault="00CB6B81" w:rsidP="00AA3942">
      <w:pPr>
        <w:spacing w:after="0"/>
        <w:rPr>
          <w:rFonts w:ascii="Times New Roman" w:hAnsi="Times New Roman"/>
        </w:rPr>
      </w:pPr>
      <w:r w:rsidRPr="00635C18">
        <w:rPr>
          <w:rFonts w:ascii="Times New Roman" w:hAnsi="Times New Roman"/>
        </w:rPr>
        <w:t>Gimnazijos metodinės</w:t>
      </w:r>
      <w:r w:rsidR="0006264A">
        <w:rPr>
          <w:rFonts w:ascii="Times New Roman" w:hAnsi="Times New Roman"/>
        </w:rPr>
        <w:t xml:space="preserve"> tarybos 202</w:t>
      </w:r>
      <w:r w:rsidR="00F91727">
        <w:rPr>
          <w:rFonts w:ascii="Times New Roman" w:hAnsi="Times New Roman"/>
        </w:rPr>
        <w:t>4</w:t>
      </w:r>
      <w:r w:rsidR="009A312C" w:rsidRPr="00635C18">
        <w:rPr>
          <w:rFonts w:ascii="Times New Roman" w:hAnsi="Times New Roman"/>
        </w:rPr>
        <w:t xml:space="preserve"> m. </w:t>
      </w:r>
      <w:r w:rsidR="0006264A">
        <w:rPr>
          <w:rFonts w:ascii="Times New Roman" w:hAnsi="Times New Roman"/>
        </w:rPr>
        <w:t>spalio 1</w:t>
      </w:r>
      <w:r w:rsidR="006208D3">
        <w:rPr>
          <w:rFonts w:ascii="Times New Roman" w:hAnsi="Times New Roman"/>
        </w:rPr>
        <w:t>0</w:t>
      </w:r>
      <w:r w:rsidR="000B4B8F">
        <w:rPr>
          <w:rFonts w:ascii="Times New Roman" w:hAnsi="Times New Roman"/>
        </w:rPr>
        <w:t xml:space="preserve"> d. </w:t>
      </w:r>
      <w:r w:rsidR="0006264A">
        <w:rPr>
          <w:rFonts w:ascii="Times New Roman" w:hAnsi="Times New Roman"/>
        </w:rPr>
        <w:t>posėdyje</w:t>
      </w:r>
      <w:r w:rsidR="00940038">
        <w:rPr>
          <w:rFonts w:ascii="Times New Roman" w:hAnsi="Times New Roman"/>
        </w:rPr>
        <w:t>, protokolo</w:t>
      </w:r>
      <w:r w:rsidR="0006264A">
        <w:rPr>
          <w:rFonts w:ascii="Times New Roman" w:hAnsi="Times New Roman"/>
        </w:rPr>
        <w:t xml:space="preserve"> Nr.</w:t>
      </w:r>
      <w:r w:rsidR="006208D3">
        <w:rPr>
          <w:rFonts w:ascii="Times New Roman" w:hAnsi="Times New Roman"/>
        </w:rPr>
        <w:t>1</w:t>
      </w:r>
      <w:r w:rsidR="0065679D">
        <w:rPr>
          <w:rFonts w:ascii="Times New Roman" w:hAnsi="Times New Roman"/>
        </w:rPr>
        <w:t xml:space="preserve"> </w:t>
      </w:r>
    </w:p>
    <w:p w14:paraId="4E0FDED2" w14:textId="51E40431" w:rsidR="0065679D" w:rsidRDefault="0065679D" w:rsidP="00AA3942">
      <w:pPr>
        <w:spacing w:after="0"/>
        <w:rPr>
          <w:rFonts w:ascii="Times New Roman" w:hAnsi="Times New Roman"/>
        </w:rPr>
      </w:pPr>
    </w:p>
    <w:p w14:paraId="3381A6D7" w14:textId="3FF292FE" w:rsidR="0065679D" w:rsidRPr="00635C18" w:rsidRDefault="0065679D" w:rsidP="00AA39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Metodinės tarybos pirmininkė Vitalija Kanišauskaitė </w:t>
      </w:r>
    </w:p>
    <w:sectPr w:rsidR="0065679D" w:rsidRPr="00635C18" w:rsidSect="00635C18">
      <w:pgSz w:w="15840" w:h="12240" w:orient="landscape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C43"/>
    <w:multiLevelType w:val="hybridMultilevel"/>
    <w:tmpl w:val="3B6C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55C"/>
    <w:multiLevelType w:val="hybridMultilevel"/>
    <w:tmpl w:val="CD18D14E"/>
    <w:lvl w:ilvl="0" w:tplc="11400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57C3"/>
    <w:multiLevelType w:val="hybridMultilevel"/>
    <w:tmpl w:val="32C65C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029B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A78"/>
    <w:multiLevelType w:val="multilevel"/>
    <w:tmpl w:val="FFFFFFFF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5" w15:restartNumberingAfterBreak="0">
    <w:nsid w:val="23EC3A9B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F529C"/>
    <w:multiLevelType w:val="hybridMultilevel"/>
    <w:tmpl w:val="4E2EC6D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4F3D"/>
    <w:multiLevelType w:val="hybridMultilevel"/>
    <w:tmpl w:val="B41C4C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24E6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C6F39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517A"/>
    <w:multiLevelType w:val="hybridMultilevel"/>
    <w:tmpl w:val="FC1E91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B31CA"/>
    <w:multiLevelType w:val="hybridMultilevel"/>
    <w:tmpl w:val="A09C28BE"/>
    <w:lvl w:ilvl="0" w:tplc="8AA6A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25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66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60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568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A1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7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28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8B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411BD9"/>
    <w:multiLevelType w:val="hybridMultilevel"/>
    <w:tmpl w:val="459A7A3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35EB2"/>
    <w:multiLevelType w:val="hybridMultilevel"/>
    <w:tmpl w:val="2BB8AA36"/>
    <w:lvl w:ilvl="0" w:tplc="67440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076C1"/>
    <w:multiLevelType w:val="hybridMultilevel"/>
    <w:tmpl w:val="3BCAFE1C"/>
    <w:lvl w:ilvl="0" w:tplc="0427000F">
      <w:start w:val="1"/>
      <w:numFmt w:val="decimal"/>
      <w:lvlText w:val="%1."/>
      <w:lvlJc w:val="left"/>
      <w:pPr>
        <w:ind w:left="2880" w:hanging="360"/>
      </w:pPr>
    </w:lvl>
    <w:lvl w:ilvl="1" w:tplc="4030BB1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3766C"/>
    <w:multiLevelType w:val="hybridMultilevel"/>
    <w:tmpl w:val="F67209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04714"/>
    <w:multiLevelType w:val="hybridMultilevel"/>
    <w:tmpl w:val="16ECE34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13"/>
  </w:num>
  <w:num w:numId="7">
    <w:abstractNumId w:val="16"/>
  </w:num>
  <w:num w:numId="8">
    <w:abstractNumId w:val="6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14"/>
  </w:num>
  <w:num w:numId="15">
    <w:abstractNumId w:val="8"/>
  </w:num>
  <w:num w:numId="16">
    <w:abstractNumId w:val="1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C1"/>
    <w:rsid w:val="0000519D"/>
    <w:rsid w:val="00014371"/>
    <w:rsid w:val="00024687"/>
    <w:rsid w:val="00031557"/>
    <w:rsid w:val="00052ACE"/>
    <w:rsid w:val="0006264A"/>
    <w:rsid w:val="0007451F"/>
    <w:rsid w:val="000901D1"/>
    <w:rsid w:val="00097329"/>
    <w:rsid w:val="00097FBD"/>
    <w:rsid w:val="000B4B8F"/>
    <w:rsid w:val="000C2AFD"/>
    <w:rsid w:val="000C523E"/>
    <w:rsid w:val="000C67C1"/>
    <w:rsid w:val="000E602F"/>
    <w:rsid w:val="000F163E"/>
    <w:rsid w:val="00131965"/>
    <w:rsid w:val="00137D6D"/>
    <w:rsid w:val="00152D94"/>
    <w:rsid w:val="0016356C"/>
    <w:rsid w:val="00163FFE"/>
    <w:rsid w:val="00180443"/>
    <w:rsid w:val="001934A6"/>
    <w:rsid w:val="00216864"/>
    <w:rsid w:val="00230DFA"/>
    <w:rsid w:val="00243EF8"/>
    <w:rsid w:val="00257BAB"/>
    <w:rsid w:val="00257C8B"/>
    <w:rsid w:val="0028430A"/>
    <w:rsid w:val="002873DF"/>
    <w:rsid w:val="002A3A8C"/>
    <w:rsid w:val="002B2B2B"/>
    <w:rsid w:val="002C39A8"/>
    <w:rsid w:val="002C6741"/>
    <w:rsid w:val="00302324"/>
    <w:rsid w:val="00316CE4"/>
    <w:rsid w:val="003415AF"/>
    <w:rsid w:val="00377946"/>
    <w:rsid w:val="00396AD5"/>
    <w:rsid w:val="003C3BA7"/>
    <w:rsid w:val="003D42EC"/>
    <w:rsid w:val="003D43B9"/>
    <w:rsid w:val="003D69E8"/>
    <w:rsid w:val="00405BCE"/>
    <w:rsid w:val="0041680F"/>
    <w:rsid w:val="004176AA"/>
    <w:rsid w:val="00420DB2"/>
    <w:rsid w:val="0048651B"/>
    <w:rsid w:val="004B7F7E"/>
    <w:rsid w:val="004C5EBC"/>
    <w:rsid w:val="004E044E"/>
    <w:rsid w:val="004F3A46"/>
    <w:rsid w:val="005054A2"/>
    <w:rsid w:val="00512B61"/>
    <w:rsid w:val="005463C1"/>
    <w:rsid w:val="00555A72"/>
    <w:rsid w:val="00570EF8"/>
    <w:rsid w:val="0058028E"/>
    <w:rsid w:val="005C4A8A"/>
    <w:rsid w:val="005D0B1C"/>
    <w:rsid w:val="005F437F"/>
    <w:rsid w:val="0060141D"/>
    <w:rsid w:val="00602BB2"/>
    <w:rsid w:val="006039E4"/>
    <w:rsid w:val="00603F04"/>
    <w:rsid w:val="0060550B"/>
    <w:rsid w:val="006119F8"/>
    <w:rsid w:val="006208D3"/>
    <w:rsid w:val="00635C18"/>
    <w:rsid w:val="00640798"/>
    <w:rsid w:val="00652212"/>
    <w:rsid w:val="0065679D"/>
    <w:rsid w:val="0068671A"/>
    <w:rsid w:val="006A270D"/>
    <w:rsid w:val="006A5B88"/>
    <w:rsid w:val="006D6E2E"/>
    <w:rsid w:val="006D70C0"/>
    <w:rsid w:val="006E340E"/>
    <w:rsid w:val="006F6753"/>
    <w:rsid w:val="007122CA"/>
    <w:rsid w:val="00712CBA"/>
    <w:rsid w:val="007415BF"/>
    <w:rsid w:val="00796CBA"/>
    <w:rsid w:val="007A2CAB"/>
    <w:rsid w:val="007A5F1F"/>
    <w:rsid w:val="007C300E"/>
    <w:rsid w:val="007E48FA"/>
    <w:rsid w:val="00815C09"/>
    <w:rsid w:val="0088291D"/>
    <w:rsid w:val="008A0F86"/>
    <w:rsid w:val="008A10C6"/>
    <w:rsid w:val="008B3010"/>
    <w:rsid w:val="008C44EE"/>
    <w:rsid w:val="008D2CD6"/>
    <w:rsid w:val="008D492A"/>
    <w:rsid w:val="009032C1"/>
    <w:rsid w:val="00940038"/>
    <w:rsid w:val="0094359F"/>
    <w:rsid w:val="00973EBA"/>
    <w:rsid w:val="0097668F"/>
    <w:rsid w:val="0098161B"/>
    <w:rsid w:val="009941BE"/>
    <w:rsid w:val="009A312C"/>
    <w:rsid w:val="009A671E"/>
    <w:rsid w:val="009C1DBA"/>
    <w:rsid w:val="009C7996"/>
    <w:rsid w:val="00A00C2B"/>
    <w:rsid w:val="00A56E09"/>
    <w:rsid w:val="00A64AC8"/>
    <w:rsid w:val="00A75D48"/>
    <w:rsid w:val="00A908A3"/>
    <w:rsid w:val="00AA3942"/>
    <w:rsid w:val="00AB5F51"/>
    <w:rsid w:val="00AD10C1"/>
    <w:rsid w:val="00AD3439"/>
    <w:rsid w:val="00AF6873"/>
    <w:rsid w:val="00B14698"/>
    <w:rsid w:val="00B77D91"/>
    <w:rsid w:val="00B84B59"/>
    <w:rsid w:val="00BA0B02"/>
    <w:rsid w:val="00BA502F"/>
    <w:rsid w:val="00BD4B37"/>
    <w:rsid w:val="00BF4A0F"/>
    <w:rsid w:val="00C010DC"/>
    <w:rsid w:val="00C16E61"/>
    <w:rsid w:val="00C26C67"/>
    <w:rsid w:val="00C27B6C"/>
    <w:rsid w:val="00C42074"/>
    <w:rsid w:val="00C52C13"/>
    <w:rsid w:val="00C56CFA"/>
    <w:rsid w:val="00C658BF"/>
    <w:rsid w:val="00CB4BE2"/>
    <w:rsid w:val="00CB6B81"/>
    <w:rsid w:val="00CC6F79"/>
    <w:rsid w:val="00CD015B"/>
    <w:rsid w:val="00CE267E"/>
    <w:rsid w:val="00CE5210"/>
    <w:rsid w:val="00CF03EA"/>
    <w:rsid w:val="00CF481C"/>
    <w:rsid w:val="00CF7414"/>
    <w:rsid w:val="00D11F51"/>
    <w:rsid w:val="00D57953"/>
    <w:rsid w:val="00D91E44"/>
    <w:rsid w:val="00D94A47"/>
    <w:rsid w:val="00D97B24"/>
    <w:rsid w:val="00DA4255"/>
    <w:rsid w:val="00DF6201"/>
    <w:rsid w:val="00E22002"/>
    <w:rsid w:val="00E25504"/>
    <w:rsid w:val="00E82F6B"/>
    <w:rsid w:val="00E90878"/>
    <w:rsid w:val="00EC459F"/>
    <w:rsid w:val="00ED4D20"/>
    <w:rsid w:val="00EE4C57"/>
    <w:rsid w:val="00F342A2"/>
    <w:rsid w:val="00F45954"/>
    <w:rsid w:val="00F60717"/>
    <w:rsid w:val="00F66104"/>
    <w:rsid w:val="00F7381D"/>
    <w:rsid w:val="00F91727"/>
    <w:rsid w:val="00FA663A"/>
    <w:rsid w:val="00F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2FE4"/>
  <w15:chartTrackingRefBased/>
  <w15:docId w15:val="{8CC11090-0065-406E-B504-DE9A9BA6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463C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1">
    <w:name w:val="heading 1"/>
    <w:basedOn w:val="prastasis1"/>
    <w:next w:val="prastasis1"/>
    <w:link w:val="Antrat1Diagrama"/>
    <w:uiPriority w:val="99"/>
    <w:qFormat/>
    <w:rsid w:val="006D6E2E"/>
    <w:pPr>
      <w:keepNext/>
      <w:keepLines/>
      <w:spacing w:before="480" w:after="120"/>
      <w:contextualSpacing/>
      <w:outlineLvl w:val="0"/>
    </w:pPr>
    <w:rPr>
      <w:b/>
      <w:sz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63C1"/>
    <w:pPr>
      <w:ind w:left="720"/>
      <w:contextualSpacing/>
    </w:pPr>
  </w:style>
  <w:style w:type="paragraph" w:customStyle="1" w:styleId="ListParagraph1">
    <w:name w:val="List Paragraph1"/>
    <w:basedOn w:val="prastasis"/>
    <w:rsid w:val="005463C1"/>
    <w:pPr>
      <w:ind w:left="720"/>
    </w:pPr>
    <w:rPr>
      <w:rFonts w:eastAsia="Times New Roman"/>
    </w:rPr>
  </w:style>
  <w:style w:type="paragraph" w:styleId="Betarp">
    <w:name w:val="No Spacing"/>
    <w:uiPriority w:val="1"/>
    <w:qFormat/>
    <w:rsid w:val="0054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0F163E"/>
    <w:rPr>
      <w:b/>
      <w:bCs/>
    </w:rPr>
  </w:style>
  <w:style w:type="table" w:styleId="Lentelstinklelis">
    <w:name w:val="Table Grid"/>
    <w:basedOn w:val="prastojilentel"/>
    <w:uiPriority w:val="59"/>
    <w:rsid w:val="000F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300E"/>
    <w:rPr>
      <w:rFonts w:ascii="Segoe UI" w:eastAsia="Calibri" w:hAnsi="Segoe UI" w:cs="Segoe UI"/>
      <w:sz w:val="18"/>
      <w:szCs w:val="18"/>
      <w:lang w:val="lt-LT"/>
    </w:rPr>
  </w:style>
  <w:style w:type="paragraph" w:customStyle="1" w:styleId="prastasis1">
    <w:name w:val="Įprastasis1"/>
    <w:rsid w:val="00D11F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lt-LT" w:eastAsia="lt-LT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6D6E2E"/>
    <w:rPr>
      <w:rFonts w:ascii="Times New Roman" w:eastAsia="Times New Roman" w:hAnsi="Times New Roman" w:cs="Times New Roman"/>
      <w:b/>
      <w:color w:val="000000"/>
      <w:sz w:val="48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21C1-22DF-45F0-9371-76AFCF8F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5892</Words>
  <Characters>3359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Mokytoja</cp:lastModifiedBy>
  <cp:revision>8</cp:revision>
  <cp:lastPrinted>2024-12-18T12:32:00Z</cp:lastPrinted>
  <dcterms:created xsi:type="dcterms:W3CDTF">2024-10-14T13:38:00Z</dcterms:created>
  <dcterms:modified xsi:type="dcterms:W3CDTF">2025-02-05T07:21:00Z</dcterms:modified>
</cp:coreProperties>
</file>